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FFFF"/>
          <w:spacing w:val="23"/>
          <w:w w:val="66"/>
          <w:sz w:val="90"/>
          <w:szCs w:val="90"/>
        </w:rPr>
      </w:pPr>
    </w:p>
    <w:p>
      <w:pPr>
        <w:jc w:val="both"/>
        <w:rPr>
          <w:rFonts w:hint="eastAsia" w:ascii="方正小标宋简体" w:eastAsia="方正小标宋简体"/>
          <w:color w:val="FF0000"/>
          <w:spacing w:val="23"/>
          <w:w w:val="66"/>
          <w:sz w:val="90"/>
          <w:szCs w:val="90"/>
        </w:rPr>
      </w:pPr>
      <w:r>
        <w:rPr>
          <w:rFonts w:hint="eastAsia" w:ascii="方正小标宋简体" w:eastAsia="方正小标宋简体"/>
          <w:color w:val="FFFFFF"/>
          <w:spacing w:val="23"/>
          <w:w w:val="66"/>
          <w:sz w:val="90"/>
          <w:szCs w:val="90"/>
        </w:rPr>
        <w:t>北京市粮食和物资储备局文件</w:t>
      </w:r>
    </w:p>
    <w:p>
      <w:pPr>
        <w:spacing w:line="510" w:lineRule="exact"/>
        <w:rPr>
          <w:rFonts w:hint="eastAsia" w:eastAsia="仿宋_GB2312"/>
          <w:sz w:val="32"/>
        </w:rPr>
      </w:pPr>
    </w:p>
    <w:p>
      <w:pPr>
        <w:spacing w:line="620" w:lineRule="exact"/>
        <w:jc w:val="center"/>
        <w:rPr>
          <w:rFonts w:hint="eastAsia" w:ascii="仿宋_GB2312" w:eastAsia="仿宋_GB2312"/>
          <w:sz w:val="32"/>
        </w:rPr>
      </w:pPr>
      <w:bookmarkStart w:id="0" w:name="docsendnum"/>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eastAsia="仿宋_GB2312"/>
          <w:sz w:val="32"/>
        </w:rPr>
      </w:pPr>
      <w:r>
        <w:rPr>
          <w:rFonts w:hint="eastAsia" w:ascii="仿宋_GB2312" w:eastAsia="仿宋_GB2312"/>
          <w:sz w:val="32"/>
        </w:rPr>
        <w:t>京粮发〔</w:t>
      </w:r>
      <w:r>
        <w:rPr>
          <w:rFonts w:hint="eastAsia" w:ascii="仿宋_GB2312" w:eastAsia="仿宋_GB2312"/>
          <w:sz w:val="32"/>
          <w:lang w:val="en-US" w:eastAsia="zh-CN"/>
        </w:rPr>
        <w:t>2024</w:t>
      </w:r>
      <w:r>
        <w:rPr>
          <w:rFonts w:hint="eastAsia" w:ascii="仿宋_GB2312" w:eastAsia="仿宋_GB2312"/>
          <w:sz w:val="32"/>
        </w:rPr>
        <w:t>〕</w:t>
      </w:r>
      <w:r>
        <w:rPr>
          <w:rFonts w:hint="eastAsia" w:ascii="仿宋_GB2312" w:eastAsia="仿宋_GB2312"/>
          <w:sz w:val="32"/>
          <w:lang w:val="en-US" w:eastAsia="zh-CN"/>
        </w:rPr>
        <w:t>8</w:t>
      </w:r>
      <w:r>
        <w:rPr>
          <w:rFonts w:hint="eastAsia" w:ascii="仿宋_GB2312" w:eastAsia="仿宋_GB2312"/>
          <w:sz w:val="32"/>
        </w:rPr>
        <w:t>号</w:t>
      </w:r>
      <w:bookmarkEnd w:id="0"/>
    </w:p>
    <w:p>
      <w:pPr>
        <w:rPr>
          <w:rFonts w:hint="eastAsia"/>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1" w:name="mainDelivery"/>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粮食和物资储备</w:t>
      </w:r>
      <w:r>
        <w:rPr>
          <w:rFonts w:hint="eastAsia" w:ascii="方正小标宋简体" w:hAnsi="方正小标宋简体" w:eastAsia="方正小标宋简体" w:cs="方正小标宋简体"/>
          <w:sz w:val="44"/>
          <w:szCs w:val="44"/>
        </w:rPr>
        <w:t>局关于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lang w:val="en" w:eastAsia="zh-CN"/>
        </w:rPr>
        <w:t>《北京市粮食领域行政处罚裁量权基准》《北京市</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粮食领域行政处罚裁量权基准表及</w:t>
      </w:r>
    </w:p>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 w:eastAsia="zh-CN"/>
        </w:rPr>
        <w:t>处罚公示期限目录》</w:t>
      </w:r>
      <w:r>
        <w:rPr>
          <w:rStyle w:val="10"/>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各区商务局（粮食和物资储备局）、市场监督管理局，北京经济技术开发区商务金融局、综合执法局：</w:t>
      </w:r>
    </w:p>
    <w:bookmarkEnd w:id="1"/>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 w:eastAsia="zh-CN"/>
        </w:rPr>
        <w:t>根据国家和本市相关要求，北京市粮食和物资储备局对《北京市粮食和物资储备局关于印发&lt;北京市粮食领域行政处罚裁量权基准&gt;&lt;北京市粮食领域行政处罚裁量权基准表及处罚公示期限目录&gt;的通知》（京粮发〔</w:t>
      </w:r>
      <w:r>
        <w:rPr>
          <w:rFonts w:hint="eastAsia" w:ascii="楷体_GB2312" w:hAnsi="楷体_GB2312" w:eastAsia="楷体_GB2312" w:cs="楷体_GB2312"/>
          <w:sz w:val="32"/>
          <w:szCs w:val="32"/>
          <w:lang w:val="en-US" w:eastAsia="zh-CN"/>
        </w:rPr>
        <w:t>2021</w:t>
      </w:r>
      <w:r>
        <w:rPr>
          <w:rFonts w:hint="eastAsia"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val="en-US" w:eastAsia="zh-CN"/>
        </w:rPr>
        <w:t>21号</w:t>
      </w:r>
      <w:r>
        <w:rPr>
          <w:rFonts w:hint="eastAsia" w:ascii="楷体_GB2312" w:hAnsi="楷体_GB2312" w:eastAsia="楷体_GB2312" w:cs="楷体_GB2312"/>
          <w:sz w:val="32"/>
          <w:szCs w:val="32"/>
          <w:lang w:val="en" w:eastAsia="zh-CN"/>
        </w:rPr>
        <w:t>）进行了修订</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经北京市粮食和物资储备局202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日第</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次局长办公会议审议通过，现将修订后的</w:t>
      </w:r>
      <w:r>
        <w:rPr>
          <w:rFonts w:hint="eastAsia" w:ascii="楷体_GB2312" w:hAnsi="楷体_GB2312" w:eastAsia="楷体_GB2312" w:cs="楷体_GB2312"/>
          <w:sz w:val="32"/>
          <w:szCs w:val="32"/>
          <w:lang w:eastAsia="zh-CN"/>
        </w:rPr>
        <w:t>版本</w:t>
      </w:r>
      <w:r>
        <w:rPr>
          <w:rFonts w:hint="eastAsia" w:ascii="楷体_GB2312" w:hAnsi="楷体_GB2312" w:eastAsia="楷体_GB2312" w:cs="楷体_GB2312"/>
          <w:sz w:val="32"/>
          <w:szCs w:val="32"/>
        </w:rPr>
        <w:t>印发给你们，请遵照执行。</w:t>
      </w:r>
    </w:p>
    <w:p>
      <w:pPr>
        <w:pStyle w:val="3"/>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620" w:lineRule="exact"/>
        <w:ind w:left="0" w:leftChars="0" w:firstLine="0" w:firstLineChars="0"/>
        <w:rPr>
          <w:rFonts w:hint="eastAsia" w:ascii="楷体_GB2312" w:hAnsi="楷体_GB2312" w:eastAsia="楷体_GB2312" w:cs="楷体_GB2312"/>
          <w:sz w:val="32"/>
          <w:szCs w:val="32"/>
          <w:lang w:eastAsia="zh-CN"/>
        </w:rPr>
      </w:pPr>
    </w:p>
    <w:p>
      <w:pPr>
        <w:pStyle w:val="2"/>
        <w:keepNext w:val="0"/>
        <w:keepLines w:val="0"/>
        <w:pageBreakBefore w:val="0"/>
        <w:kinsoku/>
        <w:wordWrap/>
        <w:overflowPunct/>
        <w:topLinePunct w:val="0"/>
        <w:autoSpaceDE/>
        <w:autoSpaceDN/>
        <w:bidi w:val="0"/>
        <w:adjustRightInd/>
        <w:snapToGrid/>
        <w:spacing w:line="620" w:lineRule="exact"/>
        <w:ind w:firstLine="3200" w:firstLineChars="10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北京市粮食和物资储备局</w:t>
      </w:r>
    </w:p>
    <w:p>
      <w:pPr>
        <w:pStyle w:val="2"/>
        <w:keepNext w:val="0"/>
        <w:keepLines w:val="0"/>
        <w:pageBreakBefore w:val="0"/>
        <w:kinsoku/>
        <w:wordWrap/>
        <w:overflowPunct/>
        <w:topLinePunct w:val="0"/>
        <w:autoSpaceDE/>
        <w:autoSpaceDN/>
        <w:bidi w:val="0"/>
        <w:adjustRightInd/>
        <w:snapToGrid/>
        <w:spacing w:line="620" w:lineRule="exact"/>
        <w:ind w:left="0" w:leftChars="0" w:firstLine="4160" w:firstLineChars="13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2024年3月12日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adjustRightInd w:val="0"/>
        <w:snapToGrid w:val="0"/>
        <w:spacing w:line="560" w:lineRule="exact"/>
        <w:jc w:val="center"/>
        <w:rPr>
          <w:rFonts w:hint="eastAsia"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北京市粮食</w:t>
      </w:r>
      <w:r>
        <w:rPr>
          <w:rFonts w:hint="eastAsia" w:ascii="方正小标宋简体" w:hAnsi="华文中宋" w:eastAsia="方正小标宋简体" w:cs="方正小标宋简体"/>
          <w:sz w:val="44"/>
          <w:szCs w:val="44"/>
          <w:lang w:eastAsia="zh-CN"/>
        </w:rPr>
        <w:t>领域</w:t>
      </w:r>
      <w:r>
        <w:rPr>
          <w:rFonts w:hint="eastAsia" w:ascii="方正小标宋简体" w:hAnsi="华文中宋" w:eastAsia="方正小标宋简体" w:cs="方正小标宋简体"/>
          <w:sz w:val="44"/>
          <w:szCs w:val="44"/>
        </w:rPr>
        <w:t>行政处罚裁量</w:t>
      </w:r>
      <w:r>
        <w:rPr>
          <w:rFonts w:hint="eastAsia" w:ascii="方正小标宋简体" w:hAnsi="华文中宋" w:eastAsia="方正小标宋简体" w:cs="方正小标宋简体"/>
          <w:sz w:val="44"/>
          <w:szCs w:val="44"/>
          <w:lang w:eastAsia="zh-CN"/>
        </w:rPr>
        <w:t>权</w:t>
      </w:r>
      <w:r>
        <w:rPr>
          <w:rFonts w:hint="eastAsia" w:ascii="方正小标宋简体" w:hAnsi="华文中宋" w:eastAsia="方正小标宋简体" w:cs="方正小标宋简体"/>
          <w:sz w:val="44"/>
          <w:szCs w:val="44"/>
        </w:rPr>
        <w:t>基准</w:t>
      </w:r>
    </w:p>
    <w:p>
      <w:pPr>
        <w:spacing w:line="560" w:lineRule="exact"/>
        <w:jc w:val="center"/>
        <w:rPr>
          <w:rFonts w:hint="eastAsia" w:ascii="黑体" w:hAnsi="黑体" w:eastAsia="黑体" w:cs="黑体"/>
          <w:sz w:val="32"/>
          <w:szCs w:val="32"/>
        </w:rPr>
      </w:pPr>
    </w:p>
    <w:p>
      <w:pPr>
        <w:spacing w:line="560" w:lineRule="exact"/>
        <w:jc w:val="center"/>
        <w:rPr>
          <w:rFonts w:ascii="黑体" w:hAnsi="黑体" w:eastAsia="黑体" w:cs="Times New Roman"/>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总则</w:t>
      </w:r>
    </w:p>
    <w:p>
      <w:pPr>
        <w:spacing w:line="560" w:lineRule="exact"/>
        <w:rPr>
          <w:rFonts w:ascii="仿宋_GB2312" w:eastAsia="仿宋_GB2312" w:cs="Times New Roman"/>
        </w:rPr>
      </w:pP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rPr>
        <w:t>第一条</w:t>
      </w:r>
      <w:r>
        <w:rPr>
          <w:rFonts w:hint="eastAsia" w:ascii="仿宋_GB2312" w:hAnsi="仿宋" w:eastAsia="仿宋_GB2312" w:cs="仿宋_GB2312"/>
          <w:sz w:val="32"/>
          <w:szCs w:val="32"/>
        </w:rPr>
        <w:t xml:space="preserve"> 为规范本市各级粮食</w:t>
      </w:r>
      <w:r>
        <w:rPr>
          <w:rFonts w:hint="eastAsia" w:ascii="仿宋_GB2312" w:hAnsi="仿宋" w:eastAsia="仿宋_GB2312" w:cs="仿宋_GB2312"/>
          <w:color w:val="000000" w:themeColor="text1"/>
          <w:sz w:val="32"/>
          <w:szCs w:val="32"/>
          <w14:textFill>
            <w14:solidFill>
              <w14:schemeClr w14:val="tx1"/>
            </w14:solidFill>
          </w14:textFill>
        </w:rPr>
        <w:t>行政处罚</w:t>
      </w:r>
      <w:r>
        <w:rPr>
          <w:rFonts w:hint="eastAsia" w:ascii="仿宋_GB2312" w:hAnsi="仿宋" w:eastAsia="仿宋_GB2312" w:cs="仿宋_GB2312"/>
          <w:sz w:val="32"/>
          <w:szCs w:val="32"/>
        </w:rPr>
        <w:t>部门的行政执法行为，正确行使行政处罚自由裁量权，根据《中华人民共和国行政处罚法》《退耕还林条例》《粮食流通管理条例》《粮油仓储管理办法》《北京市储备粮管理办法》《国有粮油仓储物流设施保护办法》《粮食质量安全监管办法》等法律、法规和规章，按照原市政府法制办</w:t>
      </w:r>
      <w:r>
        <w:rPr>
          <w:rFonts w:hint="eastAsia" w:ascii="仿宋_GB2312" w:eastAsia="仿宋_GB2312" w:cs="仿宋_GB2312"/>
          <w:sz w:val="32"/>
          <w:szCs w:val="32"/>
        </w:rPr>
        <w:t>《关于规范实施行政处罚裁量基准制度的若干指导意见》（京政法制发〔</w:t>
      </w:r>
      <w:r>
        <w:rPr>
          <w:rFonts w:ascii="仿宋_GB2312" w:eastAsia="仿宋_GB2312" w:cs="仿宋_GB2312"/>
          <w:sz w:val="32"/>
          <w:szCs w:val="32"/>
        </w:rPr>
        <w:t>2015</w:t>
      </w:r>
      <w:r>
        <w:rPr>
          <w:rFonts w:hint="eastAsia" w:ascii="仿宋_GB2312" w:eastAsia="仿宋_GB2312" w:cs="仿宋_GB2312"/>
          <w:sz w:val="32"/>
          <w:szCs w:val="32"/>
        </w:rPr>
        <w:t>〕</w:t>
      </w:r>
      <w:r>
        <w:rPr>
          <w:rFonts w:ascii="仿宋_GB2312" w:eastAsia="仿宋_GB2312" w:cs="仿宋_GB2312"/>
          <w:sz w:val="32"/>
          <w:szCs w:val="32"/>
        </w:rPr>
        <w:t>16</w:t>
      </w:r>
      <w:r>
        <w:rPr>
          <w:rFonts w:hint="eastAsia" w:ascii="仿宋_GB2312" w:eastAsia="仿宋_GB2312" w:cs="仿宋_GB2312"/>
          <w:sz w:val="32"/>
          <w:szCs w:val="32"/>
        </w:rPr>
        <w:t>号）要求，</w:t>
      </w:r>
      <w:r>
        <w:rPr>
          <w:rFonts w:hint="eastAsia" w:ascii="仿宋_GB2312" w:hAnsi="仿宋" w:eastAsia="仿宋_GB2312" w:cs="仿宋_GB2312"/>
          <w:sz w:val="32"/>
          <w:szCs w:val="32"/>
        </w:rPr>
        <w:t>结合粮食行政执法实际，制定本基准。</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第二条</w:t>
      </w:r>
      <w:r>
        <w:rPr>
          <w:rFonts w:hint="eastAsia" w:ascii="仿宋_GB2312" w:hAnsi="仿宋" w:eastAsia="仿宋_GB2312" w:cs="仿宋_GB2312"/>
          <w:sz w:val="32"/>
          <w:szCs w:val="32"/>
        </w:rPr>
        <w:t xml:space="preserve"> 本市各级粮食行政处罚部门在本</w:t>
      </w:r>
      <w:r>
        <w:rPr>
          <w:rFonts w:hint="eastAsia" w:ascii="仿宋_GB2312" w:hAnsi="仿宋" w:eastAsia="仿宋_GB2312" w:cs="仿宋_GB2312"/>
          <w:sz w:val="32"/>
          <w:szCs w:val="32"/>
          <w:lang w:eastAsia="zh-CN"/>
        </w:rPr>
        <w:t>市</w:t>
      </w:r>
      <w:r>
        <w:rPr>
          <w:rFonts w:hint="eastAsia" w:ascii="仿宋_GB2312" w:hAnsi="仿宋" w:eastAsia="仿宋_GB2312" w:cs="仿宋_GB2312"/>
          <w:sz w:val="32"/>
          <w:szCs w:val="32"/>
        </w:rPr>
        <w:t>行政区域内实施行政处罚时适用本基准。</w:t>
      </w:r>
    </w:p>
    <w:p>
      <w:pPr>
        <w:spacing w:line="560" w:lineRule="exact"/>
        <w:ind w:firstLine="636"/>
        <w:jc w:val="left"/>
        <w:rPr>
          <w:rFonts w:ascii="仿宋_GB2312" w:hAnsi="仿宋" w:eastAsia="仿宋_GB2312" w:cs="仿宋_GB2312"/>
          <w:sz w:val="32"/>
          <w:szCs w:val="32"/>
        </w:rPr>
      </w:pPr>
      <w:r>
        <w:rPr>
          <w:rFonts w:hint="eastAsia" w:ascii="黑体" w:hAnsi="黑体" w:eastAsia="黑体" w:cs="仿宋_GB2312"/>
          <w:sz w:val="32"/>
          <w:szCs w:val="32"/>
        </w:rPr>
        <w:t>第三条</w:t>
      </w:r>
      <w:r>
        <w:rPr>
          <w:rFonts w:hint="eastAsia" w:ascii="仿宋_GB2312" w:hAnsi="仿宋" w:eastAsia="仿宋_GB2312" w:cs="仿宋_GB2312"/>
          <w:sz w:val="32"/>
          <w:szCs w:val="32"/>
        </w:rPr>
        <w:t xml:space="preserve"> 本基准所称各级粮食行政处罚部门，是指市级粮食</w:t>
      </w:r>
      <w:r>
        <w:rPr>
          <w:rFonts w:hint="eastAsia" w:ascii="仿宋_GB2312" w:hAnsi="仿宋" w:eastAsia="仿宋_GB2312" w:cs="仿宋_GB2312"/>
          <w:sz w:val="32"/>
          <w:szCs w:val="32"/>
          <w:lang w:eastAsia="zh-CN"/>
        </w:rPr>
        <w:t>和储备</w:t>
      </w:r>
      <w:r>
        <w:rPr>
          <w:rFonts w:hint="eastAsia" w:ascii="仿宋_GB2312" w:hAnsi="仿宋" w:eastAsia="仿宋_GB2312" w:cs="仿宋_GB2312"/>
          <w:sz w:val="32"/>
          <w:szCs w:val="32"/>
        </w:rPr>
        <w:t>行政管理部门和各区市场监督管理部门。</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第四条</w:t>
      </w:r>
      <w:r>
        <w:rPr>
          <w:rFonts w:hint="eastAsia" w:ascii="仿宋_GB2312" w:hAnsi="仿宋" w:eastAsia="仿宋_GB2312" w:cs="仿宋_GB2312"/>
          <w:sz w:val="32"/>
          <w:szCs w:val="32"/>
        </w:rPr>
        <w:t xml:space="preserve"> 本基准中各类违法行为依据社会危害性划定为</w:t>
      </w:r>
      <w:r>
        <w:rPr>
          <w:rFonts w:ascii="仿宋_GB2312" w:hAnsi="仿宋" w:eastAsia="仿宋_GB2312" w:cs="仿宋_GB2312"/>
          <w:sz w:val="32"/>
          <w:szCs w:val="32"/>
        </w:rPr>
        <w:t>A</w:t>
      </w:r>
      <w:r>
        <w:rPr>
          <w:rFonts w:hint="eastAsia" w:ascii="仿宋_GB2312" w:hAnsi="仿宋" w:eastAsia="仿宋_GB2312" w:cs="仿宋_GB2312"/>
          <w:sz w:val="32"/>
          <w:szCs w:val="32"/>
        </w:rPr>
        <w:t>、</w:t>
      </w:r>
      <w:r>
        <w:rPr>
          <w:rFonts w:ascii="仿宋_GB2312" w:hAnsi="仿宋" w:eastAsia="仿宋_GB2312" w:cs="仿宋_GB2312"/>
          <w:sz w:val="32"/>
          <w:szCs w:val="32"/>
        </w:rPr>
        <w:t>B</w:t>
      </w:r>
      <w:r>
        <w:rPr>
          <w:rFonts w:hint="eastAsia" w:ascii="仿宋_GB2312" w:hAnsi="仿宋" w:eastAsia="仿宋_GB2312" w:cs="仿宋_GB2312"/>
          <w:sz w:val="32"/>
          <w:szCs w:val="32"/>
        </w:rPr>
        <w:t>、</w:t>
      </w:r>
      <w:r>
        <w:rPr>
          <w:rFonts w:ascii="仿宋_GB2312" w:hAnsi="仿宋" w:eastAsia="仿宋_GB2312" w:cs="仿宋_GB2312"/>
          <w:sz w:val="32"/>
          <w:szCs w:val="32"/>
        </w:rPr>
        <w:t>C</w:t>
      </w:r>
      <w:r>
        <w:rPr>
          <w:rFonts w:hint="eastAsia" w:ascii="仿宋_GB2312" w:hAnsi="仿宋" w:eastAsia="仿宋_GB2312" w:cs="仿宋_GB2312"/>
          <w:sz w:val="32"/>
          <w:szCs w:val="32"/>
        </w:rPr>
        <w:t>三个基础裁量档次。</w:t>
      </w:r>
      <w:r>
        <w:rPr>
          <w:rFonts w:hint="eastAsia" w:ascii="仿宋_GB2312" w:hAnsi="仿宋" w:eastAsia="仿宋_GB2312" w:cs="仿宋_GB2312"/>
          <w:sz w:val="32"/>
          <w:szCs w:val="32"/>
          <w:lang w:eastAsia="zh-CN"/>
        </w:rPr>
        <w:t>其中，“</w:t>
      </w:r>
      <w:r>
        <w:rPr>
          <w:rFonts w:hint="eastAsia" w:ascii="仿宋_GB2312" w:hAnsi="仿宋" w:eastAsia="仿宋_GB2312" w:cs="仿宋_GB2312"/>
          <w:sz w:val="32"/>
          <w:szCs w:val="32"/>
        </w:rPr>
        <w:t>违法行为本身社会危害性严重的”对应</w:t>
      </w:r>
      <w:r>
        <w:rPr>
          <w:rFonts w:ascii="仿宋_GB2312" w:hAnsi="仿宋" w:eastAsia="仿宋_GB2312" w:cs="仿宋_GB2312"/>
          <w:sz w:val="32"/>
          <w:szCs w:val="32"/>
        </w:rPr>
        <w:t>A</w:t>
      </w:r>
      <w:r>
        <w:rPr>
          <w:rFonts w:hint="eastAsia" w:ascii="仿宋_GB2312" w:hAnsi="仿宋" w:eastAsia="仿宋_GB2312" w:cs="仿宋_GB2312"/>
          <w:sz w:val="32"/>
          <w:szCs w:val="32"/>
        </w:rPr>
        <w:t>档，“违法行为本身社会危害性一般的”对应</w:t>
      </w:r>
      <w:r>
        <w:rPr>
          <w:rFonts w:ascii="仿宋_GB2312" w:hAnsi="仿宋" w:eastAsia="仿宋_GB2312" w:cs="仿宋_GB2312"/>
          <w:sz w:val="32"/>
          <w:szCs w:val="32"/>
        </w:rPr>
        <w:t>B</w:t>
      </w:r>
      <w:r>
        <w:rPr>
          <w:rFonts w:hint="eastAsia" w:ascii="仿宋_GB2312" w:hAnsi="仿宋" w:eastAsia="仿宋_GB2312" w:cs="仿宋_GB2312"/>
          <w:sz w:val="32"/>
          <w:szCs w:val="32"/>
        </w:rPr>
        <w:t>档</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违法行为本身社会危害性轻微的”对应</w:t>
      </w:r>
      <w:r>
        <w:rPr>
          <w:rFonts w:ascii="仿宋_GB2312" w:hAnsi="仿宋" w:eastAsia="仿宋_GB2312" w:cs="仿宋_GB2312"/>
          <w:sz w:val="32"/>
          <w:szCs w:val="32"/>
        </w:rPr>
        <w:t>C</w:t>
      </w:r>
      <w:r>
        <w:rPr>
          <w:rFonts w:hint="eastAsia" w:ascii="仿宋_GB2312" w:hAnsi="仿宋" w:eastAsia="仿宋_GB2312" w:cs="仿宋_GB2312"/>
          <w:sz w:val="32"/>
          <w:szCs w:val="32"/>
        </w:rPr>
        <w:t>档。</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第五条</w:t>
      </w:r>
      <w:r>
        <w:rPr>
          <w:rFonts w:hint="eastAsia" w:ascii="仿宋_GB2312" w:hAnsi="仿宋" w:eastAsia="仿宋_GB2312" w:cs="仿宋_GB2312"/>
          <w:sz w:val="32"/>
          <w:szCs w:val="32"/>
        </w:rPr>
        <w:t xml:space="preserve"> 本基准中，裁量档内根据违法情节轻重划分多个处罚裁量阶</w:t>
      </w:r>
      <w:r>
        <w:rPr>
          <w:rFonts w:hint="eastAsia" w:ascii="仿宋_GB2312" w:hAnsi="仿宋" w:eastAsia="仿宋_GB2312" w:cs="仿宋_GB2312"/>
          <w:sz w:val="32"/>
          <w:szCs w:val="32"/>
          <w:lang w:eastAsia="zh-CN"/>
        </w:rPr>
        <w:t>次</w:t>
      </w:r>
      <w:r>
        <w:rPr>
          <w:rFonts w:hint="eastAsia" w:ascii="仿宋_GB2312" w:hAnsi="仿宋" w:eastAsia="仿宋_GB2312" w:cs="仿宋_GB2312"/>
          <w:sz w:val="32"/>
          <w:szCs w:val="32"/>
        </w:rPr>
        <w:t>，分阶编号01、02、03</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04</w:t>
      </w:r>
      <w:r>
        <w:rPr>
          <w:rFonts w:hint="eastAsia" w:ascii="仿宋_GB2312" w:hAnsi="仿宋" w:eastAsia="仿宋_GB2312" w:cs="仿宋_GB2312"/>
          <w:sz w:val="32"/>
          <w:szCs w:val="32"/>
        </w:rPr>
        <w:t>代表违法情节由轻到重、处罚阶次由低到高。</w:t>
      </w:r>
    </w:p>
    <w:p>
      <w:pPr>
        <w:spacing w:line="560" w:lineRule="exact"/>
        <w:jc w:val="center"/>
        <w:rPr>
          <w:rFonts w:hint="eastAsia" w:ascii="黑体" w:hAnsi="黑体" w:eastAsia="黑体" w:cs="黑体"/>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裁量基准</w:t>
      </w:r>
    </w:p>
    <w:p>
      <w:pPr>
        <w:spacing w:line="560" w:lineRule="exact"/>
        <w:jc w:val="center"/>
        <w:rPr>
          <w:rFonts w:ascii="仿宋_GB2312" w:hAnsi="黑体" w:eastAsia="仿宋_GB2312" w:cs="黑体"/>
          <w:b/>
          <w:sz w:val="32"/>
          <w:szCs w:val="32"/>
        </w:rPr>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第一节 退耕还林补助粮供应</w:t>
      </w:r>
    </w:p>
    <w:p>
      <w:pPr>
        <w:spacing w:line="560" w:lineRule="exact"/>
        <w:jc w:val="center"/>
        <w:rPr>
          <w:rFonts w:ascii="仿宋_GB2312" w:hAnsi="黑体" w:eastAsia="仿宋_GB2312" w:cs="Times New Roman"/>
          <w:b/>
          <w:sz w:val="32"/>
          <w:szCs w:val="32"/>
        </w:rPr>
      </w:pP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第六条</w:t>
      </w:r>
      <w:r>
        <w:rPr>
          <w:rFonts w:hint="eastAsia" w:ascii="仿宋_GB2312" w:hAnsi="仿宋" w:eastAsia="仿宋_GB2312" w:cs="仿宋_GB2312"/>
          <w:sz w:val="32"/>
          <w:szCs w:val="32"/>
        </w:rPr>
        <w:t xml:space="preserve"> 供应补助粮食的企业违反《退耕还林条例》第三十九条第二款规定，向退耕还林者供应不符合国家质量标准的补助粮食的，其行为属于基础裁量</w:t>
      </w:r>
      <w:r>
        <w:rPr>
          <w:rFonts w:hint="eastAsia" w:ascii="仿宋_GB2312" w:hAnsi="仿宋" w:eastAsia="仿宋_GB2312" w:cs="仿宋_GB2312"/>
          <w:sz w:val="32"/>
          <w:szCs w:val="32"/>
          <w:highlight w:val="none"/>
          <w:lang w:val="en-US" w:eastAsia="zh-CN"/>
        </w:rPr>
        <w:t>A</w:t>
      </w:r>
      <w:r>
        <w:rPr>
          <w:rFonts w:hint="eastAsia" w:ascii="仿宋_GB2312" w:hAnsi="仿宋" w:eastAsia="仿宋_GB2312" w:cs="仿宋_GB2312"/>
          <w:sz w:val="32"/>
          <w:szCs w:val="32"/>
        </w:rPr>
        <w:t>档。依据《退耕还林条例》第六十一条第一款规定，上述违法行为的裁量幅度为“责令限期改正，</w:t>
      </w:r>
      <w:r>
        <w:rPr>
          <w:rFonts w:hint="eastAsia" w:ascii="仿宋_GB2312" w:hAnsi="仿宋" w:eastAsia="仿宋_GB2312" w:cs="仿宋_GB2312"/>
          <w:sz w:val="32"/>
          <w:szCs w:val="32"/>
          <w:lang w:eastAsia="zh-CN"/>
        </w:rPr>
        <w:t>可以</w:t>
      </w:r>
      <w:r>
        <w:rPr>
          <w:rFonts w:hint="eastAsia" w:ascii="仿宋_GB2312" w:hAnsi="仿宋" w:eastAsia="仿宋_GB2312" w:cs="仿宋_GB2312"/>
          <w:sz w:val="32"/>
          <w:szCs w:val="32"/>
        </w:rPr>
        <w:t>处非法供应的补助粮食数量乘以标准口粮单价</w:t>
      </w:r>
      <w:r>
        <w:rPr>
          <w:rFonts w:ascii="仿宋_GB2312" w:hAnsi="仿宋" w:eastAsia="仿宋_GB2312" w:cs="仿宋_GB2312"/>
          <w:sz w:val="32"/>
          <w:szCs w:val="32"/>
        </w:rPr>
        <w:t>1</w:t>
      </w:r>
      <w:r>
        <w:rPr>
          <w:rFonts w:hint="eastAsia" w:ascii="仿宋_GB2312" w:hAnsi="仿宋" w:eastAsia="仿宋_GB2312" w:cs="仿宋_GB2312"/>
          <w:sz w:val="32"/>
          <w:szCs w:val="32"/>
        </w:rPr>
        <w:t>倍以下的罚款”。不设立基础裁量阶次。</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第七条</w:t>
      </w:r>
      <w:r>
        <w:rPr>
          <w:rFonts w:hint="eastAsia" w:ascii="仿宋_GB2312" w:hAnsi="仿宋" w:eastAsia="仿宋_GB2312" w:cs="仿宋_GB2312"/>
          <w:sz w:val="32"/>
          <w:szCs w:val="32"/>
        </w:rPr>
        <w:t xml:space="preserve"> 供应补助粮食的企业违反《退耕还林条例》第四十一条规定，将补助粮食折算成现金或者代金券支付的，其行为属于基础裁量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档。依据《退耕还林条例》第六十一条第二款规定，上述违法行为的裁量幅度为“责令限期改正，</w:t>
      </w:r>
      <w:r>
        <w:rPr>
          <w:rFonts w:hint="eastAsia" w:ascii="仿宋_GB2312" w:hAnsi="仿宋" w:eastAsia="仿宋_GB2312" w:cs="仿宋_GB2312"/>
          <w:sz w:val="32"/>
          <w:szCs w:val="32"/>
          <w:lang w:eastAsia="zh-CN"/>
        </w:rPr>
        <w:t>可以</w:t>
      </w:r>
      <w:r>
        <w:rPr>
          <w:rFonts w:hint="eastAsia" w:ascii="仿宋_GB2312" w:hAnsi="仿宋" w:eastAsia="仿宋_GB2312" w:cs="仿宋_GB2312"/>
          <w:sz w:val="32"/>
          <w:szCs w:val="32"/>
        </w:rPr>
        <w:t>处折算现金额、代金券</w:t>
      </w:r>
      <w:r>
        <w:rPr>
          <w:rFonts w:hint="eastAsia" w:ascii="仿宋_GB2312" w:hAnsi="仿宋" w:eastAsia="仿宋_GB2312" w:cs="仿宋_GB2312"/>
          <w:sz w:val="32"/>
          <w:szCs w:val="32"/>
          <w:lang w:eastAsia="zh-CN"/>
        </w:rPr>
        <w:t>额</w:t>
      </w:r>
      <w:r>
        <w:rPr>
          <w:rFonts w:ascii="仿宋_GB2312" w:hAnsi="仿宋" w:eastAsia="仿宋_GB2312" w:cs="仿宋_GB2312"/>
          <w:sz w:val="32"/>
          <w:szCs w:val="32"/>
        </w:rPr>
        <w:t>1</w:t>
      </w:r>
      <w:r>
        <w:rPr>
          <w:rFonts w:hint="eastAsia" w:ascii="仿宋_GB2312" w:hAnsi="仿宋" w:eastAsia="仿宋_GB2312" w:cs="仿宋_GB2312"/>
          <w:sz w:val="32"/>
          <w:szCs w:val="32"/>
        </w:rPr>
        <w:t>倍以下的罚款”。不设立基础裁量阶次。</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第八条</w:t>
      </w:r>
      <w:r>
        <w:rPr>
          <w:rFonts w:hint="eastAsia" w:ascii="仿宋_GB2312" w:hAnsi="仿宋" w:eastAsia="仿宋_GB2312" w:cs="仿宋_GB2312"/>
          <w:sz w:val="32"/>
          <w:szCs w:val="32"/>
        </w:rPr>
        <w:t xml:space="preserve"> 供应补助粮食的企业违反《退耕还林条例》第四十一条规定，回购退耕还林补助粮食的，其行为属于基础裁量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档。依据《退耕还林条例》第六十一条第二款规定，上述违法行为的裁量幅度为“责令限期改正，</w:t>
      </w:r>
      <w:r>
        <w:rPr>
          <w:rFonts w:hint="eastAsia" w:ascii="仿宋_GB2312" w:hAnsi="仿宋" w:eastAsia="仿宋_GB2312" w:cs="仿宋_GB2312"/>
          <w:sz w:val="32"/>
          <w:szCs w:val="32"/>
          <w:lang w:eastAsia="zh-CN"/>
        </w:rPr>
        <w:t>可以</w:t>
      </w:r>
      <w:r>
        <w:rPr>
          <w:rFonts w:hint="eastAsia" w:ascii="仿宋_GB2312" w:hAnsi="仿宋" w:eastAsia="仿宋_GB2312" w:cs="仿宋_GB2312"/>
          <w:sz w:val="32"/>
          <w:szCs w:val="32"/>
        </w:rPr>
        <w:t>处回购粮食价款</w:t>
      </w:r>
      <w:r>
        <w:rPr>
          <w:rFonts w:ascii="仿宋_GB2312" w:hAnsi="仿宋" w:eastAsia="仿宋_GB2312" w:cs="仿宋_GB2312"/>
          <w:sz w:val="32"/>
          <w:szCs w:val="32"/>
        </w:rPr>
        <w:t>1</w:t>
      </w:r>
      <w:r>
        <w:rPr>
          <w:rFonts w:hint="eastAsia" w:ascii="仿宋_GB2312" w:hAnsi="仿宋" w:eastAsia="仿宋_GB2312" w:cs="仿宋_GB2312"/>
          <w:sz w:val="32"/>
          <w:szCs w:val="32"/>
        </w:rPr>
        <w:t>倍以下的罚款”。不设立基础裁量阶次。</w:t>
      </w:r>
    </w:p>
    <w:p>
      <w:pPr>
        <w:spacing w:line="560" w:lineRule="exact"/>
        <w:jc w:val="center"/>
        <w:rPr>
          <w:rFonts w:hint="eastAsia" w:ascii="仿宋_GB2312" w:hAnsi="黑体" w:eastAsia="仿宋_GB2312" w:cs="黑体"/>
          <w:b/>
          <w:sz w:val="32"/>
          <w:szCs w:val="32"/>
        </w:rPr>
      </w:pPr>
    </w:p>
    <w:p>
      <w:pPr>
        <w:pStyle w:val="2"/>
        <w:rPr>
          <w:rFonts w:hint="eastAsia" w:ascii="仿宋_GB2312" w:hAnsi="黑体" w:eastAsia="仿宋_GB2312" w:cs="黑体"/>
          <w:b/>
          <w:sz w:val="32"/>
          <w:szCs w:val="32"/>
        </w:rPr>
      </w:pPr>
    </w:p>
    <w:p>
      <w:pPr>
        <w:pStyle w:val="2"/>
        <w:rPr>
          <w:rFonts w:hint="eastAsia" w:ascii="仿宋_GB2312" w:hAnsi="黑体" w:eastAsia="仿宋_GB2312" w:cs="黑体"/>
          <w:b/>
          <w:sz w:val="32"/>
          <w:szCs w:val="32"/>
        </w:rPr>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第二节 粮食流通管理</w:t>
      </w:r>
    </w:p>
    <w:p>
      <w:pPr>
        <w:spacing w:line="560" w:lineRule="exact"/>
        <w:jc w:val="center"/>
        <w:rPr>
          <w:rFonts w:ascii="仿宋_GB2312" w:hAnsi="黑体" w:eastAsia="仿宋_GB2312" w:cs="Times New Roman"/>
          <w:b/>
          <w:sz w:val="32"/>
          <w:szCs w:val="32"/>
        </w:rPr>
      </w:pPr>
    </w:p>
    <w:p>
      <w:pPr>
        <w:spacing w:line="560" w:lineRule="exact"/>
        <w:ind w:firstLine="627" w:firstLineChars="196"/>
        <w:jc w:val="left"/>
        <w:rPr>
          <w:rFonts w:ascii="仿宋_GB2312" w:hAnsi="仿宋" w:eastAsia="仿宋_GB2312" w:cs="Times New Roman"/>
          <w:sz w:val="32"/>
          <w:szCs w:val="32"/>
        </w:rPr>
      </w:pPr>
      <w:r>
        <w:rPr>
          <w:rFonts w:hint="eastAsia" w:ascii="黑体" w:hAnsi="黑体" w:eastAsia="黑体" w:cs="仿宋_GB2312"/>
          <w:sz w:val="32"/>
          <w:szCs w:val="32"/>
        </w:rPr>
        <w:t>第九条</w:t>
      </w:r>
      <w:r>
        <w:rPr>
          <w:rFonts w:hint="eastAsia" w:ascii="仿宋_GB2312" w:hAnsi="仿宋" w:eastAsia="仿宋_GB2312" w:cs="仿宋_GB2312"/>
          <w:sz w:val="32"/>
          <w:szCs w:val="32"/>
        </w:rPr>
        <w:t xml:space="preserve"> 粮食收购企业违反《粮食流通管理条例》</w:t>
      </w:r>
      <w:r>
        <w:rPr>
          <w:rFonts w:hint="eastAsia" w:ascii="仿宋_GB2312" w:hAnsi="仿宋" w:eastAsia="仿宋_GB2312" w:cs="仿宋_GB2312"/>
          <w:color w:val="000000" w:themeColor="text1"/>
          <w:sz w:val="32"/>
          <w:szCs w:val="32"/>
          <w14:textFill>
            <w14:solidFill>
              <w14:schemeClr w14:val="tx1"/>
            </w14:solidFill>
          </w14:textFill>
        </w:rPr>
        <w:t>第</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rPr>
        <w:t>款规定，未按照规定备案或者提供虚假备案信息的，其行为属于基础裁量</w:t>
      </w:r>
      <w:r>
        <w:rPr>
          <w:rFonts w:hint="eastAsia" w:ascii="仿宋_GB2312" w:hAnsi="仿宋" w:eastAsia="仿宋_GB2312" w:cs="仿宋_GB2312"/>
          <w:sz w:val="32"/>
          <w:szCs w:val="32"/>
          <w:lang w:val="en-US" w:eastAsia="zh-CN"/>
        </w:rPr>
        <w:t>C</w:t>
      </w:r>
      <w:r>
        <w:rPr>
          <w:rFonts w:hint="eastAsia" w:ascii="仿宋_GB2312" w:hAnsi="仿宋" w:eastAsia="仿宋_GB2312" w:cs="仿宋_GB2312"/>
          <w:sz w:val="32"/>
          <w:szCs w:val="32"/>
        </w:rPr>
        <w:t>档。依据《粮食流通管理条例》第四十</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条规定，上述违法行为的裁量幅度为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责令改正，给予警告；拒不改正的，处2万元以上5万元以下罚款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sz w:val="32"/>
          <w:szCs w:val="32"/>
          <w:lang w:val="en-US" w:eastAsia="zh-CN"/>
        </w:rPr>
        <w:t>责令改正，给予警告</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拒不改正的，处2万元以上5万元以下罚款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两</w:t>
      </w:r>
      <w:r>
        <w:rPr>
          <w:rFonts w:hint="eastAsia" w:ascii="仿宋_GB2312" w:hAnsi="仿宋" w:eastAsia="仿宋_GB2312" w:cs="仿宋_GB2312"/>
          <w:sz w:val="32"/>
          <w:szCs w:val="32"/>
        </w:rPr>
        <w:t>个基础裁量阶次。</w:t>
      </w:r>
    </w:p>
    <w:p>
      <w:pPr>
        <w:spacing w:line="560" w:lineRule="exact"/>
        <w:ind w:firstLine="636"/>
        <w:jc w:val="both"/>
        <w:rPr>
          <w:rFonts w:ascii="仿宋_GB2312" w:hAnsi="仿宋" w:eastAsia="仿宋_GB2312" w:cs="Times New Roman"/>
          <w:sz w:val="32"/>
          <w:szCs w:val="32"/>
        </w:rPr>
      </w:pPr>
      <w:r>
        <w:rPr>
          <w:rFonts w:hint="eastAsia" w:ascii="黑体" w:hAnsi="黑体" w:eastAsia="黑体" w:cs="仿宋_GB2312"/>
          <w:sz w:val="32"/>
          <w:szCs w:val="32"/>
        </w:rPr>
        <w:t>第十条</w:t>
      </w:r>
      <w:r>
        <w:rPr>
          <w:rFonts w:hint="eastAsia" w:ascii="仿宋_GB2312" w:hAnsi="仿宋" w:eastAsia="仿宋_GB2312" w:cs="仿宋_GB2312"/>
          <w:sz w:val="32"/>
          <w:szCs w:val="32"/>
        </w:rPr>
        <w:t xml:space="preserve"> </w:t>
      </w:r>
      <w:r>
        <w:rPr>
          <w:rFonts w:hint="eastAsia" w:ascii="仿宋_GB2312" w:hAnsi="仿宋_GB2312" w:eastAsia="仿宋_GB2312" w:cs="仿宋_GB2312"/>
          <w:sz w:val="32"/>
          <w:szCs w:val="32"/>
        </w:rPr>
        <w:t>粮食收购者违反《粮食流通管理条例》第十一条</w:t>
      </w:r>
      <w:r>
        <w:rPr>
          <w:rFonts w:hint="eastAsia" w:ascii="仿宋_GB2312" w:hAnsi="仿宋_GB2312" w:eastAsia="仿宋_GB2312" w:cs="仿宋_GB2312"/>
          <w:sz w:val="32"/>
          <w:szCs w:val="32"/>
          <w:lang w:val="en-US" w:eastAsia="zh-CN"/>
        </w:rPr>
        <w:t>第一款、</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第十三条</w:t>
      </w:r>
      <w:r>
        <w:rPr>
          <w:rFonts w:hint="eastAsia" w:ascii="仿宋_GB2312" w:hAnsi="仿宋_GB2312" w:eastAsia="仿宋_GB2312" w:cs="仿宋_GB2312"/>
          <w:sz w:val="32"/>
          <w:szCs w:val="32"/>
        </w:rPr>
        <w:t>规定，未执行国家粮食质量标准的，其行为属于基础裁量A档。依据《粮食流通管理条例》第四十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第五十一条、</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第四十六条</w:t>
      </w:r>
      <w:r>
        <w:rPr>
          <w:rFonts w:hint="eastAsia" w:ascii="仿宋_GB2312" w:hAnsi="仿宋_GB2312" w:eastAsia="仿宋_GB2312" w:cs="仿宋_GB2312"/>
          <w:sz w:val="32"/>
          <w:szCs w:val="32"/>
        </w:rPr>
        <w:t>规定</w:t>
      </w:r>
      <w:r>
        <w:rPr>
          <w:rFonts w:hint="eastAsia" w:ascii="仿宋_GB2312" w:hAnsi="仿宋" w:eastAsia="仿宋_GB2312" w:cs="仿宋_GB2312"/>
          <w:sz w:val="32"/>
          <w:szCs w:val="32"/>
        </w:rPr>
        <w:t>，上述违法行为的裁量幅度为“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个基础裁量阶次。</w:t>
      </w:r>
    </w:p>
    <w:p>
      <w:pPr>
        <w:spacing w:line="560" w:lineRule="exact"/>
        <w:ind w:firstLine="636"/>
        <w:jc w:val="left"/>
        <w:rPr>
          <w:rFonts w:hint="eastAsia" w:ascii="仿宋_GB2312" w:hAnsi="仿宋" w:eastAsia="仿宋_GB2312" w:cs="仿宋_GB2312"/>
          <w:sz w:val="32"/>
          <w:szCs w:val="32"/>
        </w:rPr>
      </w:pPr>
      <w:r>
        <w:rPr>
          <w:rFonts w:hint="eastAsia" w:ascii="黑体" w:hAnsi="黑体" w:eastAsia="黑体" w:cs="仿宋_GB2312"/>
          <w:sz w:val="32"/>
          <w:szCs w:val="32"/>
        </w:rPr>
        <w:t>第十一条</w:t>
      </w:r>
      <w:r>
        <w:rPr>
          <w:rFonts w:hint="eastAsia" w:ascii="仿宋_GB2312" w:hAnsi="仿宋" w:eastAsia="仿宋_GB2312" w:cs="仿宋_GB2312"/>
          <w:sz w:val="32"/>
          <w:szCs w:val="32"/>
        </w:rPr>
        <w:t xml:space="preserve"> 粮食收购者违反《粮食流通管理条例》第</w:t>
      </w:r>
      <w:r>
        <w:rPr>
          <w:rFonts w:hint="eastAsia" w:ascii="仿宋_GB2312" w:hAnsi="仿宋" w:eastAsia="仿宋_GB2312" w:cs="仿宋_GB2312"/>
          <w:color w:val="000000" w:themeColor="text1"/>
          <w:sz w:val="32"/>
          <w:szCs w:val="32"/>
          <w14:textFill>
            <w14:solidFill>
              <w14:schemeClr w14:val="tx1"/>
            </w14:solidFill>
          </w14:textFill>
        </w:rPr>
        <w:t>十一条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w:t>
      </w:r>
      <w:r>
        <w:rPr>
          <w:rFonts w:hint="eastAsia" w:ascii="仿宋_GB2312" w:hAnsi="仿宋" w:eastAsia="仿宋_GB2312" w:cs="仿宋_GB2312"/>
          <w:sz w:val="32"/>
          <w:szCs w:val="32"/>
        </w:rPr>
        <w:t>规定，未及时</w:t>
      </w:r>
      <w:r>
        <w:rPr>
          <w:rFonts w:hint="eastAsia" w:ascii="仿宋_GB2312" w:hAnsi="仿宋" w:eastAsia="仿宋_GB2312" w:cs="仿宋_GB2312"/>
          <w:sz w:val="32"/>
          <w:szCs w:val="32"/>
          <w:lang w:val="en-US" w:eastAsia="zh-CN"/>
        </w:rPr>
        <w:t>向售粮者</w:t>
      </w:r>
      <w:r>
        <w:rPr>
          <w:rFonts w:hint="eastAsia" w:ascii="仿宋_GB2312" w:hAnsi="仿宋" w:eastAsia="仿宋_GB2312" w:cs="仿宋_GB2312"/>
          <w:sz w:val="32"/>
          <w:szCs w:val="32"/>
        </w:rPr>
        <w:t>支付售粮款的，其行为属于基础裁量</w:t>
      </w:r>
      <w:r>
        <w:rPr>
          <w:rFonts w:ascii="仿宋_GB2312" w:hAnsi="仿宋" w:eastAsia="仿宋_GB2312" w:cs="仿宋_GB2312"/>
          <w:sz w:val="32"/>
          <w:szCs w:val="32"/>
        </w:rPr>
        <w:t>A</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themeColor="text1"/>
          <w:sz w:val="32"/>
          <w:szCs w:val="32"/>
          <w14:textFill>
            <w14:solidFill>
              <w14:schemeClr w14:val="tx1"/>
            </w14:solidFill>
          </w14:textFill>
        </w:rPr>
        <w:t>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val="en-US" w:eastAsia="zh-CN"/>
        </w:rPr>
        <w:t>、第五十一条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个基础裁量阶次。</w:t>
      </w:r>
    </w:p>
    <w:p>
      <w:pPr>
        <w:spacing w:line="560" w:lineRule="exact"/>
        <w:ind w:firstLine="636"/>
        <w:jc w:val="both"/>
        <w:rPr>
          <w:rFonts w:ascii="仿宋_GB2312" w:hAnsi="仿宋" w:eastAsia="仿宋_GB2312" w:cs="Times New Roman"/>
          <w:sz w:val="32"/>
          <w:szCs w:val="32"/>
        </w:rPr>
      </w:pPr>
      <w:r>
        <w:rPr>
          <w:rFonts w:hint="eastAsia" w:ascii="黑体" w:hAnsi="黑体" w:eastAsia="黑体" w:cs="仿宋_GB2312"/>
          <w:sz w:val="32"/>
          <w:szCs w:val="32"/>
        </w:rPr>
        <w:t>第十二条</w:t>
      </w:r>
      <w:r>
        <w:rPr>
          <w:rFonts w:hint="eastAsia" w:ascii="仿宋_GB2312" w:hAnsi="仿宋" w:eastAsia="仿宋_GB2312" w:cs="仿宋_GB2312"/>
          <w:sz w:val="32"/>
          <w:szCs w:val="32"/>
        </w:rPr>
        <w:t xml:space="preserve"> 粮食收购者违反《粮食流通管理条例》第</w:t>
      </w:r>
      <w:r>
        <w:rPr>
          <w:rFonts w:hint="eastAsia" w:ascii="仿宋_GB2312" w:hAnsi="仿宋" w:eastAsia="仿宋_GB2312" w:cs="仿宋_GB2312"/>
          <w:color w:val="000000" w:themeColor="text1"/>
          <w:sz w:val="32"/>
          <w:szCs w:val="32"/>
          <w14:textFill>
            <w14:solidFill>
              <w14:schemeClr w14:val="tx1"/>
            </w14:solidFill>
          </w14:textFill>
        </w:rPr>
        <w:t>十一</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第一款</w:t>
      </w:r>
      <w:r>
        <w:rPr>
          <w:rFonts w:hint="eastAsia" w:ascii="仿宋_GB2312" w:hAnsi="仿宋" w:eastAsia="仿宋_GB2312" w:cs="仿宋_GB2312"/>
          <w:sz w:val="32"/>
          <w:szCs w:val="32"/>
        </w:rPr>
        <w:t>规定，代扣、代缴税、费和其他款项的，其行为属于基础裁量</w:t>
      </w:r>
      <w:r>
        <w:rPr>
          <w:rFonts w:ascii="仿宋_GB2312" w:hAnsi="仿宋" w:eastAsia="仿宋_GB2312" w:cs="仿宋_GB2312"/>
          <w:sz w:val="32"/>
          <w:szCs w:val="32"/>
        </w:rPr>
        <w:t>A</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themeColor="text1"/>
          <w:sz w:val="32"/>
          <w:szCs w:val="32"/>
          <w14:textFill>
            <w14:solidFill>
              <w14:schemeClr w14:val="tx1"/>
            </w14:solidFill>
          </w14:textFill>
        </w:rPr>
        <w:t>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第五十一条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个基础裁量阶次。</w:t>
      </w:r>
    </w:p>
    <w:p>
      <w:pPr>
        <w:spacing w:line="560" w:lineRule="exact"/>
        <w:ind w:firstLine="636"/>
        <w:jc w:val="left"/>
        <w:rPr>
          <w:rFonts w:hint="eastAsia" w:ascii="仿宋_GB2312" w:hAnsi="仿宋" w:eastAsia="仿宋_GB2312" w:cs="仿宋_GB2312"/>
          <w:sz w:val="32"/>
          <w:szCs w:val="32"/>
        </w:rPr>
      </w:pPr>
      <w:r>
        <w:rPr>
          <w:rFonts w:hint="eastAsia" w:ascii="黑体" w:hAnsi="黑体" w:eastAsia="黑体" w:cs="仿宋_GB2312"/>
          <w:sz w:val="32"/>
          <w:szCs w:val="32"/>
        </w:rPr>
        <w:t>第十三条</w:t>
      </w:r>
      <w:r>
        <w:rPr>
          <w:rFonts w:hint="eastAsia" w:ascii="仿宋_GB2312" w:hAnsi="仿宋" w:eastAsia="仿宋_GB2312" w:cs="仿宋_GB2312"/>
          <w:sz w:val="32"/>
          <w:szCs w:val="32"/>
        </w:rPr>
        <w:t xml:space="preserve"> 从事粮食收购、销售、储存、加工的粮食经营者以及饲料、工业用粮企业违反《粮食流通管理条例》第</w:t>
      </w:r>
      <w:r>
        <w:rPr>
          <w:rFonts w:hint="eastAsia" w:ascii="仿宋_GB2312" w:hAnsi="仿宋" w:eastAsia="仿宋_GB2312" w:cs="仿宋_GB2312"/>
          <w:color w:val="000000" w:themeColor="text1"/>
          <w:sz w:val="32"/>
          <w:szCs w:val="32"/>
          <w14:textFill>
            <w14:solidFill>
              <w14:schemeClr w14:val="tx1"/>
            </w14:solidFill>
          </w14:textFill>
        </w:rPr>
        <w:t>二十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第一款</w:t>
      </w:r>
      <w:r>
        <w:rPr>
          <w:rFonts w:hint="eastAsia" w:ascii="仿宋_GB2312" w:hAnsi="仿宋" w:eastAsia="仿宋_GB2312" w:cs="仿宋_GB2312"/>
          <w:sz w:val="32"/>
          <w:szCs w:val="32"/>
        </w:rPr>
        <w:t>规定，未建立粮食经营台账的，其行为属于基础裁量</w:t>
      </w: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themeColor="text1"/>
          <w:sz w:val="32"/>
          <w:szCs w:val="32"/>
          <w14:textFill>
            <w14:solidFill>
              <w14:schemeClr w14:val="tx1"/>
            </w14:solidFill>
          </w14:textFill>
        </w:rPr>
        <w:t>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第五十一条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个基础裁量阶次。</w:t>
      </w:r>
    </w:p>
    <w:p>
      <w:pPr>
        <w:spacing w:line="560" w:lineRule="exact"/>
        <w:ind w:firstLine="636"/>
        <w:jc w:val="both"/>
        <w:rPr>
          <w:rFonts w:hint="eastAsia" w:ascii="仿宋_GB2312" w:hAnsi="仿宋" w:eastAsia="仿宋_GB2312" w:cs="仿宋_GB2312"/>
          <w:sz w:val="32"/>
          <w:szCs w:val="32"/>
        </w:rPr>
      </w:pPr>
      <w:r>
        <w:rPr>
          <w:rFonts w:hint="eastAsia" w:ascii="黑体" w:hAnsi="黑体" w:eastAsia="黑体" w:cs="仿宋_GB2312"/>
          <w:sz w:val="32"/>
          <w:szCs w:val="32"/>
        </w:rPr>
        <w:t>第十四条</w:t>
      </w:r>
      <w:r>
        <w:rPr>
          <w:rFonts w:hint="eastAsia" w:ascii="仿宋_GB2312" w:hAnsi="仿宋" w:eastAsia="仿宋_GB2312" w:cs="仿宋_GB2312"/>
          <w:sz w:val="32"/>
          <w:szCs w:val="32"/>
        </w:rPr>
        <w:t xml:space="preserve"> 从事粮食收购、销售、储存、加工的粮食经营者以及饲料、工业用粮企业违反《粮食流通管理条例》第</w:t>
      </w:r>
      <w:r>
        <w:rPr>
          <w:rFonts w:hint="eastAsia" w:ascii="仿宋_GB2312" w:hAnsi="仿宋"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 w:eastAsia="仿宋_GB2312" w:cs="仿宋_GB2312"/>
          <w:color w:val="000000" w:themeColor="text1"/>
          <w:sz w:val="32"/>
          <w:szCs w:val="32"/>
          <w14:textFill>
            <w14:solidFill>
              <w14:schemeClr w14:val="tx1"/>
            </w14:solidFill>
          </w14:textFill>
        </w:rPr>
        <w:t>十三</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第一款</w:t>
      </w:r>
      <w:r>
        <w:rPr>
          <w:rFonts w:hint="eastAsia" w:ascii="仿宋_GB2312" w:hAnsi="仿宋" w:eastAsia="仿宋_GB2312" w:cs="仿宋_GB2312"/>
          <w:sz w:val="32"/>
          <w:szCs w:val="32"/>
        </w:rPr>
        <w:t>，未按照规定报送粮食基本数据和有关情况</w:t>
      </w:r>
      <w:r>
        <w:rPr>
          <w:rFonts w:hint="eastAsia" w:ascii="仿宋_GB2312" w:hAnsi="仿宋" w:eastAsia="仿宋_GB2312" w:cs="仿宋_GB2312"/>
          <w:sz w:val="32"/>
          <w:szCs w:val="32"/>
          <w:lang w:val="en-US" w:eastAsia="zh-CN"/>
        </w:rPr>
        <w:t>的</w:t>
      </w:r>
      <w:r>
        <w:rPr>
          <w:rFonts w:hint="eastAsia" w:ascii="仿宋_GB2312" w:hAnsi="仿宋" w:eastAsia="仿宋_GB2312" w:cs="仿宋_GB2312"/>
          <w:sz w:val="32"/>
          <w:szCs w:val="32"/>
        </w:rPr>
        <w:t>，其行为属于基础裁量</w:t>
      </w: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档。依据《粮食流通管理条例》第四十</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五</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第五十一条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个基础裁量阶次。</w:t>
      </w:r>
    </w:p>
    <w:p>
      <w:pPr>
        <w:spacing w:line="560" w:lineRule="exact"/>
        <w:ind w:firstLine="640" w:firstLineChars="200"/>
        <w:jc w:val="both"/>
        <w:rPr>
          <w:rFonts w:hint="eastAsia" w:ascii="仿宋_GB2312" w:hAnsi="仿宋" w:eastAsia="仿宋_GB2312" w:cs="仿宋_GB2312"/>
          <w:sz w:val="32"/>
          <w:szCs w:val="32"/>
        </w:rPr>
      </w:pPr>
      <w:r>
        <w:rPr>
          <w:rFonts w:hint="eastAsia" w:ascii="黑体" w:hAnsi="黑体" w:eastAsia="黑体" w:cs="仿宋_GB2312"/>
          <w:sz w:val="32"/>
          <w:szCs w:val="32"/>
          <w:highlight w:val="none"/>
        </w:rPr>
        <w:t>第十五条</w:t>
      </w:r>
      <w:r>
        <w:rPr>
          <w:rFonts w:hint="eastAsia" w:ascii="仿宋_GB2312" w:hAnsi="仿宋" w:eastAsia="仿宋_GB2312" w:cs="仿宋_GB2312"/>
          <w:sz w:val="32"/>
          <w:szCs w:val="32"/>
        </w:rPr>
        <w:t xml:space="preserve"> 违反《粮食流通管理条例》第</w:t>
      </w:r>
      <w:r>
        <w:rPr>
          <w:rFonts w:hint="eastAsia" w:ascii="仿宋_GB2312" w:hAnsi="仿宋" w:eastAsia="仿宋_GB2312" w:cs="仿宋_GB2312"/>
          <w:sz w:val="32"/>
          <w:szCs w:val="32"/>
          <w:lang w:val="en-US" w:eastAsia="zh-CN"/>
        </w:rPr>
        <w:t>十七</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第二款、《粮食质量安全监管办法》第十八条第一款第（一）项、第（二）项</w:t>
      </w:r>
      <w:r>
        <w:rPr>
          <w:rFonts w:hint="eastAsia" w:ascii="仿宋_GB2312" w:hAnsi="仿宋" w:eastAsia="仿宋_GB2312" w:cs="仿宋_GB2312"/>
          <w:sz w:val="32"/>
          <w:szCs w:val="32"/>
        </w:rPr>
        <w:t>，未按照规定进行粮食销售出库质量安全检验的，其行为属于基础裁量</w:t>
      </w:r>
      <w:r>
        <w:rPr>
          <w:rFonts w:ascii="仿宋_GB2312" w:hAnsi="仿宋" w:eastAsia="仿宋_GB2312" w:cs="仿宋_GB2312"/>
          <w:sz w:val="32"/>
          <w:szCs w:val="32"/>
        </w:rPr>
        <w:t>A</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sz w:val="32"/>
          <w:szCs w:val="32"/>
        </w:rPr>
        <w:t>四十</w:t>
      </w:r>
      <w:r>
        <w:rPr>
          <w:rFonts w:hint="eastAsia" w:ascii="仿宋_GB2312" w:hAnsi="仿宋" w:eastAsia="仿宋_GB2312" w:cs="仿宋_GB2312"/>
          <w:color w:val="000000"/>
          <w:sz w:val="32"/>
          <w:szCs w:val="32"/>
          <w:lang w:val="en-US" w:eastAsia="zh-CN"/>
        </w:rPr>
        <w:t>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六</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第五十一条、</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个基础裁量阶次。</w:t>
      </w: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rPr>
        <w:t>第十六条</w:t>
      </w:r>
      <w:r>
        <w:rPr>
          <w:rFonts w:hint="eastAsia" w:ascii="仿宋_GB2312" w:hAnsi="仿宋" w:eastAsia="仿宋_GB2312" w:cs="仿宋_GB2312"/>
          <w:sz w:val="32"/>
          <w:szCs w:val="32"/>
        </w:rPr>
        <w:t xml:space="preserve"> </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val="en-US" w:eastAsia="zh-CN"/>
        </w:rPr>
        <w:t>收购</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粮食储存企业</w:t>
      </w:r>
      <w:r>
        <w:rPr>
          <w:rFonts w:hint="eastAsia" w:ascii="仿宋_GB2312" w:hAnsi="仿宋_GB2312" w:eastAsia="仿宋_GB2312" w:cs="仿宋_GB2312"/>
          <w:sz w:val="32"/>
          <w:szCs w:val="32"/>
        </w:rPr>
        <w:t>违反《粮食流通管理条例》第十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rPr>
        <w:t>，未按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使用仓储设施的，其行为属于基础裁量</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档。依据《粮食流通管理条例》第四十六条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第四十六条</w:t>
      </w:r>
      <w:r>
        <w:rPr>
          <w:rFonts w:hint="eastAsia" w:ascii="仿宋_GB2312" w:hAnsi="仿宋_GB2312" w:eastAsia="仿宋_GB2312" w:cs="仿宋_GB2312"/>
          <w:sz w:val="32"/>
          <w:szCs w:val="32"/>
        </w:rPr>
        <w:t>规定</w:t>
      </w:r>
      <w:r>
        <w:rPr>
          <w:rFonts w:hint="eastAsia" w:ascii="仿宋_GB2312" w:hAnsi="仿宋" w:eastAsia="仿宋_GB2312" w:cs="仿宋_GB2312"/>
          <w:sz w:val="32"/>
          <w:szCs w:val="32"/>
        </w:rPr>
        <w:t>，上述违法行为的裁量幅度为“</w:t>
      </w:r>
      <w:r>
        <w:rPr>
          <w:rFonts w:hint="eastAsia" w:ascii="仿宋_GB2312" w:hAnsi="仿宋" w:eastAsia="仿宋_GB2312" w:cs="仿宋_GB2312"/>
          <w:sz w:val="32"/>
          <w:szCs w:val="32"/>
          <w:lang w:val="en-US" w:eastAsia="zh-CN"/>
        </w:rPr>
        <w:t>责令改正，给予警告；被污染的粮食不得非法销售、加工</w:t>
      </w:r>
      <w:r>
        <w:rPr>
          <w:rFonts w:hint="eastAsia" w:ascii="仿宋_GB2312" w:hAnsi="仿宋" w:eastAsia="仿宋_GB2312" w:cs="仿宋_GB2312"/>
          <w:sz w:val="32"/>
          <w:szCs w:val="32"/>
        </w:rPr>
        <w:t>”。不设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rPr>
        <w:t>第十七条</w:t>
      </w:r>
      <w:r>
        <w:rPr>
          <w:rFonts w:hint="eastAsia" w:ascii="仿宋_GB2312" w:hAnsi="仿宋" w:eastAsia="仿宋_GB2312" w:cs="仿宋_GB2312"/>
          <w:sz w:val="32"/>
          <w:szCs w:val="32"/>
        </w:rPr>
        <w:t xml:space="preserve"> 粮食</w:t>
      </w:r>
      <w:r>
        <w:rPr>
          <w:rFonts w:hint="eastAsia" w:ascii="仿宋_GB2312" w:hAnsi="仿宋" w:eastAsia="仿宋_GB2312" w:cs="仿宋_GB2312"/>
          <w:sz w:val="32"/>
          <w:szCs w:val="32"/>
          <w:lang w:val="en-US" w:eastAsia="zh-CN"/>
        </w:rPr>
        <w:t>收购</w:t>
      </w:r>
      <w:r>
        <w:rPr>
          <w:rFonts w:hint="eastAsia" w:ascii="仿宋_GB2312" w:hAnsi="仿宋" w:eastAsia="仿宋_GB2312" w:cs="仿宋_GB2312"/>
          <w:sz w:val="32"/>
          <w:szCs w:val="32"/>
        </w:rPr>
        <w:t>者</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粮食储存企业</w:t>
      </w:r>
      <w:r>
        <w:rPr>
          <w:rFonts w:hint="eastAsia" w:ascii="仿宋_GB2312" w:hAnsi="仿宋" w:eastAsia="仿宋_GB2312" w:cs="仿宋_GB2312"/>
          <w:sz w:val="32"/>
          <w:szCs w:val="32"/>
        </w:rPr>
        <w:t>违反《粮食流通管理条例》第十</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第二十一条第一款、第二款</w:t>
      </w:r>
      <w:r>
        <w:rPr>
          <w:rFonts w:hint="eastAsia" w:ascii="仿宋_GB2312" w:hAnsi="仿宋" w:eastAsia="仿宋_GB2312" w:cs="仿宋_GB2312"/>
          <w:sz w:val="32"/>
          <w:szCs w:val="32"/>
        </w:rPr>
        <w:t>，未按照规定使用</w:t>
      </w:r>
      <w:r>
        <w:rPr>
          <w:rFonts w:hint="eastAsia" w:ascii="仿宋_GB2312" w:hAnsi="仿宋" w:eastAsia="仿宋_GB2312" w:cs="仿宋_GB2312"/>
          <w:sz w:val="32"/>
          <w:szCs w:val="32"/>
          <w:lang w:val="en-US" w:eastAsia="zh-CN"/>
        </w:rPr>
        <w:t>运输工具</w:t>
      </w:r>
      <w:r>
        <w:rPr>
          <w:rFonts w:hint="eastAsia" w:ascii="仿宋_GB2312" w:hAnsi="仿宋" w:eastAsia="仿宋_GB2312" w:cs="仿宋_GB2312"/>
          <w:sz w:val="32"/>
          <w:szCs w:val="32"/>
        </w:rPr>
        <w:t>的，其行为属于基础裁量</w:t>
      </w: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档。依据《粮食流通管理条例》第四十六条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val="en-US" w:eastAsia="zh-CN"/>
        </w:rPr>
        <w:t>责令改正，给予警告；被污染的粮食不得非法销售、加工</w:t>
      </w:r>
      <w:r>
        <w:rPr>
          <w:rFonts w:hint="eastAsia" w:ascii="仿宋_GB2312" w:hAnsi="仿宋" w:eastAsia="仿宋_GB2312" w:cs="仿宋_GB2312"/>
          <w:sz w:val="32"/>
          <w:szCs w:val="32"/>
        </w:rPr>
        <w:t>”。不设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spacing w:line="560" w:lineRule="exact"/>
        <w:ind w:firstLine="640" w:firstLineChars="200"/>
        <w:jc w:val="both"/>
        <w:rPr>
          <w:rFonts w:hint="eastAsia" w:ascii="仿宋_GB2312" w:hAnsi="仿宋" w:eastAsia="仿宋_GB2312" w:cs="仿宋_GB2312"/>
          <w:sz w:val="32"/>
          <w:szCs w:val="32"/>
        </w:rPr>
      </w:pPr>
      <w:r>
        <w:rPr>
          <w:rFonts w:hint="eastAsia" w:ascii="黑体" w:hAnsi="黑体" w:eastAsia="黑体" w:cs="仿宋_GB2312"/>
          <w:sz w:val="32"/>
          <w:szCs w:val="32"/>
        </w:rPr>
        <w:t>第十八条</w:t>
      </w:r>
      <w:r>
        <w:rPr>
          <w:rFonts w:hint="eastAsia" w:ascii="仿宋_GB2312" w:hAnsi="仿宋" w:eastAsia="仿宋_GB2312" w:cs="仿宋_GB2312"/>
          <w:sz w:val="32"/>
          <w:szCs w:val="32"/>
        </w:rPr>
        <w:t xml:space="preserve"> 粮食收购者违反《粮食流通管理条例》</w:t>
      </w:r>
      <w:r>
        <w:rPr>
          <w:rFonts w:hint="eastAsia" w:ascii="仿宋_GB2312" w:hAnsi="仿宋" w:eastAsia="仿宋_GB2312" w:cs="仿宋_GB2312"/>
          <w:sz w:val="32"/>
          <w:szCs w:val="32"/>
          <w:lang w:val="en-US" w:eastAsia="zh-CN"/>
        </w:rPr>
        <w:t>第十一条第二款、</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第十三条</w:t>
      </w:r>
      <w:r>
        <w:rPr>
          <w:rFonts w:hint="eastAsia" w:ascii="仿宋_GB2312" w:hAnsi="仿宋" w:eastAsia="仿宋_GB2312" w:cs="仿宋_GB2312"/>
          <w:sz w:val="32"/>
          <w:szCs w:val="32"/>
        </w:rPr>
        <w:t>，收购粮食未按照国家有关规定进行质量安全检验的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其行为属于基础裁量A档。依据《粮食流通管理条例》第四十五条第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项、第五十一条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个基础裁量阶次。</w:t>
      </w:r>
    </w:p>
    <w:p>
      <w:pPr>
        <w:spacing w:line="560" w:lineRule="exact"/>
        <w:ind w:firstLine="640" w:firstLineChars="200"/>
        <w:jc w:val="both"/>
        <w:rPr>
          <w:rFonts w:hint="eastAsia" w:ascii="仿宋_GB2312" w:hAnsi="仿宋" w:eastAsia="仿宋_GB2312" w:cs="仿宋_GB2312"/>
          <w:sz w:val="32"/>
          <w:szCs w:val="32"/>
        </w:rPr>
      </w:pPr>
      <w:r>
        <w:rPr>
          <w:rFonts w:hint="eastAsia" w:ascii="黑体" w:hAnsi="黑体" w:eastAsia="黑体" w:cs="仿宋_GB2312"/>
          <w:sz w:val="32"/>
          <w:szCs w:val="32"/>
        </w:rPr>
        <w:t>第十九条</w:t>
      </w:r>
      <w:r>
        <w:rPr>
          <w:rFonts w:hint="eastAsia" w:ascii="仿宋_GB2312" w:hAnsi="仿宋" w:eastAsia="仿宋_GB2312" w:cs="仿宋_GB2312"/>
          <w:sz w:val="32"/>
          <w:szCs w:val="32"/>
        </w:rPr>
        <w:t xml:space="preserve"> 粮食收购者违反《粮食流通管理条例》</w:t>
      </w:r>
      <w:r>
        <w:rPr>
          <w:rFonts w:hint="eastAsia" w:ascii="仿宋_GB2312" w:hAnsi="仿宋" w:eastAsia="仿宋_GB2312" w:cs="仿宋_GB2312"/>
          <w:sz w:val="32"/>
          <w:szCs w:val="32"/>
          <w:lang w:val="en-US" w:eastAsia="zh-CN"/>
        </w:rPr>
        <w:t>第十一条第二款、</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第十五条第一款</w:t>
      </w:r>
      <w:r>
        <w:rPr>
          <w:rFonts w:hint="eastAsia" w:ascii="仿宋_GB2312" w:hAnsi="仿宋" w:eastAsia="仿宋_GB2312" w:cs="仿宋_GB2312"/>
          <w:sz w:val="32"/>
          <w:szCs w:val="32"/>
          <w:lang w:val="en-US" w:eastAsia="zh-CN"/>
        </w:rPr>
        <w:t>规定</w:t>
      </w:r>
      <w:r>
        <w:rPr>
          <w:rFonts w:hint="eastAsia" w:ascii="仿宋_GB2312" w:hAnsi="仿宋" w:eastAsia="仿宋_GB2312" w:cs="仿宋_GB2312"/>
          <w:sz w:val="32"/>
          <w:szCs w:val="32"/>
        </w:rPr>
        <w:t>，对不符合食品安全标准的粮食未作为非食用用途单独储存的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其行为属于基础裁量</w:t>
      </w:r>
      <w:r>
        <w:rPr>
          <w:rFonts w:ascii="仿宋_GB2312" w:hAnsi="仿宋" w:eastAsia="仿宋_GB2312" w:cs="仿宋_GB2312"/>
          <w:sz w:val="32"/>
          <w:szCs w:val="32"/>
        </w:rPr>
        <w:t>A</w:t>
      </w:r>
      <w:r>
        <w:rPr>
          <w:rFonts w:hint="eastAsia" w:ascii="仿宋_GB2312" w:hAnsi="仿宋" w:eastAsia="仿宋_GB2312" w:cs="仿宋_GB2312"/>
          <w:sz w:val="32"/>
          <w:szCs w:val="32"/>
        </w:rPr>
        <w:t>档。依据《粮食流通管理条例》第</w:t>
      </w:r>
      <w:r>
        <w:rPr>
          <w:rFonts w:hint="eastAsia" w:ascii="仿宋_GB2312" w:hAnsi="仿宋" w:eastAsia="仿宋_GB2312" w:cs="仿宋_GB2312"/>
          <w:color w:val="000000" w:themeColor="text1"/>
          <w:sz w:val="32"/>
          <w:szCs w:val="32"/>
          <w14:textFill>
            <w14:solidFill>
              <w14:schemeClr w14:val="tx1"/>
            </w14:solidFill>
          </w14:textFill>
        </w:rPr>
        <w:t>四十五</w:t>
      </w:r>
      <w:r>
        <w:rPr>
          <w:rFonts w:hint="eastAsia" w:ascii="仿宋_GB2312" w:hAnsi="仿宋" w:eastAsia="仿宋_GB2312" w:cs="仿宋_GB2312"/>
          <w:sz w:val="32"/>
          <w:szCs w:val="32"/>
        </w:rPr>
        <w:t>条第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项、第五十一条</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rPr>
        <w:t>《粮食</w:t>
      </w:r>
      <w:r>
        <w:rPr>
          <w:rFonts w:hint="eastAsia" w:ascii="仿宋_GB2312" w:hAnsi="仿宋_GB2312" w:eastAsia="仿宋_GB2312" w:cs="仿宋_GB2312"/>
          <w:sz w:val="32"/>
          <w:szCs w:val="32"/>
          <w:lang w:eastAsia="zh-CN"/>
        </w:rPr>
        <w:t>质量安全监管办法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eastAsia="zh-CN"/>
        </w:rPr>
        <w:t>责令改正，给予</w:t>
      </w:r>
      <w:r>
        <w:rPr>
          <w:rFonts w:hint="eastAsia" w:ascii="仿宋_GB2312" w:hAnsi="仿宋" w:eastAsia="仿宋_GB2312" w:cs="仿宋_GB2312"/>
          <w:sz w:val="32"/>
          <w:szCs w:val="32"/>
          <w:lang w:val="en-US" w:eastAsia="zh-CN"/>
        </w:rPr>
        <w:t>警告，可以并处20万元以下罚款；情节严重的，并处20万元以上5</w:t>
      </w:r>
      <w:r>
        <w:rPr>
          <w:rFonts w:ascii="仿宋_GB2312" w:hAnsi="仿宋" w:eastAsia="仿宋_GB2312" w:cs="仿宋_GB2312"/>
          <w:sz w:val="32"/>
          <w:szCs w:val="32"/>
        </w:rPr>
        <w:t>0</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val="en-US" w:eastAsia="zh-CN"/>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责令改正，给予警告，可以并处20万元以下罚款</w:t>
      </w:r>
      <w:r>
        <w:rPr>
          <w:rFonts w:hint="eastAsia" w:ascii="仿宋_GB2312" w:hAnsi="仿宋" w:eastAsia="仿宋_GB2312" w:cs="仿宋_GB2312"/>
          <w:color w:val="000000" w:themeColor="text1"/>
          <w:sz w:val="32"/>
          <w:szCs w:val="32"/>
          <w14:textFill>
            <w14:solidFill>
              <w14:schemeClr w14:val="tx1"/>
            </w14:solidFill>
          </w14:textFill>
        </w:rPr>
        <w:t>”“责令改正，给予警告，并处20万元以上35万元以下罚款。对其法定代表人、主要负责人、直接负责的主管人员和其他直接责任人员处以其上一年度从本企业取得收入的1倍以上5倍以下罚款”“</w:t>
      </w:r>
      <w:r>
        <w:rPr>
          <w:rFonts w:hint="eastAsia" w:ascii="仿宋_GB2312" w:hAnsi="仿宋" w:eastAsia="仿宋_GB2312" w:cs="仿宋_GB2312"/>
          <w:color w:val="000000" w:themeColor="text1"/>
          <w:sz w:val="32"/>
          <w:szCs w:val="32"/>
          <w:lang w:val="en-US" w:eastAsia="zh-CN"/>
          <w14:textFill>
            <w14:solidFill>
              <w14:schemeClr w14:val="tx1"/>
            </w14:solidFill>
          </w14:textFill>
        </w:rPr>
        <w:t>责令改正，给予警告，并处35万元以上50万元以下罚款。对其法定代表人、主要负责人、直接负责的主管人员和其他直接责任人员处以其上一年度从本企业取得收入的5倍以上10倍以下罚款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个基础裁量阶次。</w:t>
      </w:r>
    </w:p>
    <w:p>
      <w:pPr>
        <w:spacing w:line="560" w:lineRule="exact"/>
        <w:ind w:firstLine="640" w:firstLineChars="200"/>
        <w:jc w:val="left"/>
        <w:rPr>
          <w:rFonts w:hint="default" w:ascii="仿宋_GB2312" w:hAnsi="仿宋" w:eastAsia="仿宋_GB2312" w:cs="仿宋_GB2312"/>
          <w:sz w:val="32"/>
          <w:szCs w:val="32"/>
          <w:lang w:val="en-US" w:eastAsia="zh-CN"/>
        </w:rPr>
      </w:pPr>
      <w:r>
        <w:rPr>
          <w:rFonts w:hint="eastAsia" w:ascii="黑体" w:hAnsi="黑体" w:eastAsia="黑体" w:cs="仿宋_GB2312"/>
          <w:sz w:val="32"/>
          <w:szCs w:val="32"/>
        </w:rPr>
        <w:t>第二十条</w:t>
      </w:r>
      <w:r>
        <w:rPr>
          <w:rFonts w:hint="eastAsia" w:ascii="仿宋_GB2312" w:hAnsi="仿宋" w:eastAsia="仿宋_GB2312" w:cs="仿宋_GB2312"/>
          <w:sz w:val="32"/>
          <w:szCs w:val="32"/>
        </w:rPr>
        <w:t xml:space="preserve"> 粮食</w:t>
      </w:r>
      <w:r>
        <w:rPr>
          <w:rFonts w:hint="eastAsia" w:ascii="仿宋_GB2312" w:hAnsi="仿宋" w:eastAsia="仿宋_GB2312" w:cs="仿宋_GB2312"/>
          <w:sz w:val="32"/>
          <w:szCs w:val="32"/>
          <w:lang w:val="en-US" w:eastAsia="zh-CN"/>
        </w:rPr>
        <w:t>收购</w:t>
      </w:r>
      <w:r>
        <w:rPr>
          <w:rFonts w:hint="eastAsia" w:ascii="仿宋_GB2312" w:hAnsi="仿宋" w:eastAsia="仿宋_GB2312" w:cs="仿宋_GB2312"/>
          <w:sz w:val="32"/>
          <w:szCs w:val="32"/>
        </w:rPr>
        <w:t>者</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粮食储存企业</w:t>
      </w:r>
      <w:r>
        <w:rPr>
          <w:rFonts w:hint="eastAsia" w:ascii="仿宋_GB2312" w:hAnsi="仿宋" w:eastAsia="仿宋_GB2312" w:cs="仿宋_GB2312"/>
          <w:sz w:val="32"/>
          <w:szCs w:val="32"/>
        </w:rPr>
        <w:t>违反《粮食流通管理条例》第十</w:t>
      </w:r>
      <w:r>
        <w:rPr>
          <w:rFonts w:hint="eastAsia" w:ascii="仿宋_GB2312" w:hAnsi="仿宋" w:eastAsia="仿宋_GB2312" w:cs="仿宋_GB2312"/>
          <w:sz w:val="32"/>
          <w:szCs w:val="32"/>
          <w:lang w:val="en-US" w:eastAsia="zh-CN"/>
        </w:rPr>
        <w:t>八</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val="en-US"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第十九条</w:t>
      </w:r>
      <w:r>
        <w:rPr>
          <w:rFonts w:hint="eastAsia" w:ascii="仿宋_GB2312" w:hAnsi="仿宋" w:eastAsia="仿宋_GB2312" w:cs="仿宋_GB2312"/>
          <w:sz w:val="32"/>
          <w:szCs w:val="32"/>
        </w:rPr>
        <w:t>，将不符合规定的粮食作为食用用途销售出库的，其行为属于基础裁量</w:t>
      </w: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档。依据《粮食流通管理条例》第四十</w:t>
      </w:r>
      <w:r>
        <w:rPr>
          <w:rFonts w:hint="eastAsia" w:ascii="仿宋_GB2312" w:hAnsi="仿宋" w:eastAsia="仿宋_GB2312" w:cs="仿宋_GB2312"/>
          <w:sz w:val="32"/>
          <w:szCs w:val="32"/>
          <w:lang w:val="en-US" w:eastAsia="zh-CN"/>
        </w:rPr>
        <w:t>七</w:t>
      </w:r>
      <w:r>
        <w:rPr>
          <w:rFonts w:hint="eastAsia" w:ascii="仿宋_GB2312" w:hAnsi="仿宋" w:eastAsia="仿宋_GB2312" w:cs="仿宋_GB2312"/>
          <w:sz w:val="32"/>
          <w:szCs w:val="32"/>
        </w:rPr>
        <w:t>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《粮食</w:t>
      </w:r>
      <w:r>
        <w:rPr>
          <w:rFonts w:hint="eastAsia" w:ascii="仿宋_GB2312" w:hAnsi="仿宋" w:eastAsia="仿宋_GB2312" w:cs="仿宋_GB2312"/>
          <w:sz w:val="32"/>
          <w:szCs w:val="32"/>
          <w:lang w:eastAsia="zh-CN"/>
        </w:rPr>
        <w:t>质量安全监管办法</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第四十六条</w:t>
      </w:r>
      <w:r>
        <w:rPr>
          <w:rFonts w:hint="eastAsia" w:ascii="仿宋_GB2312" w:hAnsi="仿宋" w:eastAsia="仿宋_GB2312" w:cs="仿宋_GB2312"/>
          <w:sz w:val="32"/>
          <w:szCs w:val="32"/>
        </w:rPr>
        <w:t>规定，上述违法行为的裁量幅度为“</w:t>
      </w:r>
      <w:r>
        <w:rPr>
          <w:rFonts w:hint="eastAsia" w:ascii="仿宋_GB2312" w:hAnsi="仿宋" w:eastAsia="仿宋_GB2312" w:cs="仿宋_GB2312"/>
          <w:sz w:val="32"/>
          <w:szCs w:val="32"/>
          <w:lang w:val="en-US" w:eastAsia="zh-CN"/>
        </w:rPr>
        <w:t>没收违法所得；违法销售出库的粮食货值金额不足1万元的，并处1万元以上5万元以下罚款，货值金额1万元以上的，并处货值金额1倍以上5倍以下罚款</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按照不同违法情节划分为</w:t>
      </w:r>
      <w:r>
        <w:rPr>
          <w:rFonts w:hint="eastAsia" w:ascii="仿宋_GB2312" w:hAnsi="仿宋" w:eastAsia="仿宋_GB2312" w:cs="仿宋_GB2312"/>
          <w:color w:val="000000" w:themeColor="text1"/>
          <w:sz w:val="32"/>
          <w:szCs w:val="32"/>
          <w:lang w:val="en-US" w:eastAsia="zh-CN"/>
          <w14:textFill>
            <w14:solidFill>
              <w14:schemeClr w14:val="tx1"/>
            </w14:solidFill>
          </w14:textFill>
        </w:rPr>
        <w:t>“</w:t>
      </w:r>
      <w:r>
        <w:rPr>
          <w:rFonts w:hint="eastAsia" w:ascii="仿宋_GB2312" w:hAnsi="仿宋" w:eastAsia="仿宋_GB2312" w:cs="仿宋_GB2312"/>
          <w:sz w:val="32"/>
          <w:szCs w:val="32"/>
          <w:lang w:eastAsia="zh-CN"/>
        </w:rPr>
        <w:t>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并处1万元以上5万元以下罚款”“</w:t>
      </w:r>
      <w:r>
        <w:rPr>
          <w:rFonts w:hint="eastAsia" w:ascii="仿宋_GB2312" w:hAnsi="仿宋" w:eastAsia="仿宋_GB2312" w:cs="仿宋_GB2312"/>
          <w:sz w:val="32"/>
          <w:szCs w:val="32"/>
          <w:lang w:eastAsia="zh-CN"/>
        </w:rPr>
        <w:t>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并处货值金额1倍以上3倍以下罚款”“</w:t>
      </w:r>
      <w:r>
        <w:rPr>
          <w:rFonts w:hint="eastAsia" w:ascii="仿宋_GB2312" w:hAnsi="仿宋" w:eastAsia="仿宋_GB2312" w:cs="仿宋_GB2312"/>
          <w:sz w:val="32"/>
          <w:szCs w:val="32"/>
          <w:lang w:eastAsia="zh-CN"/>
        </w:rPr>
        <w:t>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并处货值金额3倍以上5倍以下罚款”三个基础裁量阶次。</w:t>
      </w:r>
    </w:p>
    <w:p>
      <w:pPr>
        <w:spacing w:line="560" w:lineRule="exact"/>
        <w:ind w:firstLine="640" w:firstLineChars="200"/>
        <w:jc w:val="left"/>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highlight w:val="none"/>
        </w:rPr>
        <w:t>第二十一条</w:t>
      </w:r>
      <w:r>
        <w:rPr>
          <w:rFonts w:hint="eastAsia" w:ascii="仿宋_GB2312" w:hAnsi="仿宋"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 w:eastAsia="仿宋_GB2312" w:cs="仿宋_GB2312"/>
          <w:color w:val="000000" w:themeColor="text1"/>
          <w:sz w:val="32"/>
          <w:szCs w:val="32"/>
          <w14:textFill>
            <w14:solidFill>
              <w14:schemeClr w14:val="tx1"/>
            </w14:solidFill>
          </w14:textFill>
        </w:rPr>
        <w:t>违反《粮食流通管理条例》第</w:t>
      </w:r>
      <w:r>
        <w:rPr>
          <w:rFonts w:hint="eastAsia" w:ascii="仿宋_GB2312" w:hAnsi="仿宋" w:eastAsia="仿宋_GB2312" w:cs="仿宋_GB2312"/>
          <w:color w:val="000000" w:themeColor="text1"/>
          <w:sz w:val="32"/>
          <w:szCs w:val="32"/>
          <w:lang w:val="en-US" w:eastAsia="zh-CN"/>
          <w14:textFill>
            <w14:solidFill>
              <w14:schemeClr w14:val="tx1"/>
            </w14:solidFill>
          </w14:textFill>
        </w:rPr>
        <w:t>三十五</w:t>
      </w:r>
      <w:r>
        <w:rPr>
          <w:rFonts w:hint="eastAsia" w:ascii="仿宋_GB2312" w:hAnsi="仿宋" w:eastAsia="仿宋_GB2312" w:cs="仿宋_GB2312"/>
          <w:color w:val="000000" w:themeColor="text1"/>
          <w:sz w:val="32"/>
          <w:szCs w:val="32"/>
          <w14:textFill>
            <w14:solidFill>
              <w14:schemeClr w14:val="tx1"/>
            </w14:solidFill>
          </w14:textFill>
        </w:rPr>
        <w:t>条规定，</w:t>
      </w:r>
      <w:r>
        <w:rPr>
          <w:rFonts w:hint="eastAsia" w:ascii="仿宋_GB2312" w:hAnsi="仿宋" w:eastAsia="仿宋_GB2312" w:cs="仿宋_GB2312"/>
          <w:color w:val="000000" w:themeColor="text1"/>
          <w:sz w:val="32"/>
          <w:szCs w:val="32"/>
          <w:lang w:val="en-US" w:eastAsia="zh-CN"/>
          <w14:textFill>
            <w14:solidFill>
              <w14:schemeClr w14:val="tx1"/>
            </w14:solidFill>
          </w14:textFill>
        </w:rPr>
        <w:t>粮食应急预案启动后，不按照国家要求承担应急任务，不服从国家的统一安排和调度的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第二款、第五十一条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第二十二条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违反《粮食流通管理条例》第二十条第（一）项规定，从事政策性粮食经营活动时虚报粮食收储数量的，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第一款第（一）项、第五十一条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违反《粮食流通管理条例》第二十条第（二）项规定，从事政策性粮食经营活动时通过以陈顶新、以次充好、低收高转、虚假购销、虚假轮换、违规倒卖等方式，套取粮食价差和财政补贴，骗取信贷资金的，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第一款第（二）项、第五十一条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四</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违反《粮食流通管理条例》第二十条第（三）项规定，从事政策性粮食经营活动时挤占、挪用、克扣财政补贴、信贷资金的，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第一款第（三）项、第五十一条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五</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违反《粮食流通管理条例》第二十条第（四）项规定，以政策性粮食为债务作担保或者清偿债务的，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第一款第（四）项、第五十一条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六</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违反《粮食流通管理条例》第二十条第（五）项规定，利用政策性粮食进行除政府委托的政策性任务以外的其他商业经营的，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第一款第（五）项、第五十一条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七</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违反《粮食流通管理条例》第二十条第（六）项规定，在政策性粮食出库时掺杂使假、以次充好、调换标的物，拒不执行出库指令或者阻挠出库的，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第一款第（六）项、第五十一条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八</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违反《粮食流通管理条例》第二十条第（七）项规定，购买国家限定用途的政策性粮食，违规倒卖或者不按照规定用途处置的，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第一款第（七）项、第五十一条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第二十</w:t>
      </w:r>
      <w:r>
        <w:rPr>
          <w:rFonts w:hint="eastAsia" w:ascii="黑体" w:hAnsi="黑体" w:eastAsia="黑体" w:cs="仿宋_GB2312"/>
          <w:sz w:val="32"/>
          <w:szCs w:val="32"/>
          <w:lang w:val="en-US" w:eastAsia="zh-CN"/>
        </w:rPr>
        <w:t>九</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违反《粮食流通管理条例》第二十条第（八）项规定，擅自动用政策性粮食的，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第一款第（八）项、第五十一条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0" w:firstLineChars="200"/>
        <w:jc w:val="both"/>
        <w:rPr>
          <w:rFonts w:hint="default" w:ascii="仿宋_GB2312" w:hAnsi="仿宋"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仿宋_GB2312"/>
          <w:sz w:val="32"/>
          <w:szCs w:val="32"/>
        </w:rPr>
        <w:t>第</w:t>
      </w:r>
      <w:r>
        <w:rPr>
          <w:rFonts w:hint="eastAsia" w:ascii="黑体" w:hAnsi="黑体" w:eastAsia="黑体" w:cs="仿宋_GB2312"/>
          <w:sz w:val="32"/>
          <w:szCs w:val="32"/>
          <w:lang w:val="en-US" w:eastAsia="zh-CN"/>
        </w:rPr>
        <w:t>三十</w:t>
      </w:r>
      <w:r>
        <w:rPr>
          <w:rFonts w:hint="eastAsia" w:ascii="黑体" w:hAnsi="黑体" w:eastAsia="黑体" w:cs="仿宋_GB2312"/>
          <w:sz w:val="32"/>
          <w:szCs w:val="32"/>
        </w:rPr>
        <w:t>条</w:t>
      </w:r>
      <w:r>
        <w:rPr>
          <w:rFonts w:hint="eastAsia" w:ascii="黑体" w:hAnsi="黑体" w:eastAsia="黑体" w:cs="仿宋_GB2312"/>
          <w:sz w:val="32"/>
          <w:szCs w:val="32"/>
          <w:lang w:val="en-US" w:eastAsia="zh-CN"/>
        </w:rPr>
        <w:t xml:space="preserve"> </w:t>
      </w:r>
      <w:r>
        <w:rPr>
          <w:rFonts w:hint="eastAsia" w:ascii="仿宋_GB2312" w:hAnsi="仿宋" w:eastAsia="仿宋_GB2312" w:cs="仿宋_GB2312"/>
          <w:color w:val="000000" w:themeColor="text1"/>
          <w:sz w:val="32"/>
          <w:szCs w:val="32"/>
          <w:lang w:val="en-US" w:eastAsia="zh-CN"/>
          <w14:textFill>
            <w14:solidFill>
              <w14:schemeClr w14:val="tx1"/>
            </w14:solidFill>
          </w14:textFill>
        </w:rPr>
        <w:t>违反《粮食流通管理条例》第二十条第（九）项规定，有其他违反国家政策性粮食经营管理规定行为的，</w:t>
      </w:r>
      <w:r>
        <w:rPr>
          <w:rFonts w:hint="eastAsia" w:ascii="仿宋_GB2312" w:hAnsi="仿宋" w:eastAsia="仿宋_GB2312" w:cs="仿宋_GB2312"/>
          <w:color w:val="000000" w:themeColor="text1"/>
          <w:sz w:val="32"/>
          <w:szCs w:val="32"/>
          <w14:textFill>
            <w14:solidFill>
              <w14:schemeClr w14:val="tx1"/>
            </w14:solidFill>
          </w14:textFill>
        </w:rPr>
        <w:t>其行为属于基础裁量A档。依据《粮食流通管理条例》第四十</w:t>
      </w:r>
      <w:r>
        <w:rPr>
          <w:rFonts w:hint="eastAsia" w:ascii="仿宋_GB2312" w:hAnsi="仿宋"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 w:eastAsia="仿宋_GB2312"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lang w:val="en-US" w:eastAsia="zh-CN"/>
          <w14:textFill>
            <w14:solidFill>
              <w14:schemeClr w14:val="tx1"/>
            </w14:solidFill>
          </w14:textFill>
        </w:rPr>
        <w:t>第一款第（九）项、第五十一条</w:t>
      </w:r>
      <w:r>
        <w:rPr>
          <w:rFonts w:hint="eastAsia" w:ascii="仿宋_GB2312" w:hAnsi="仿宋" w:eastAsia="仿宋_GB2312" w:cs="仿宋_GB2312"/>
          <w:color w:val="000000" w:themeColor="text1"/>
          <w:sz w:val="32"/>
          <w:szCs w:val="32"/>
          <w14:textFill>
            <w14:solidFill>
              <w14:schemeClr w14:val="tx1"/>
            </w14:solidFill>
          </w14:textFill>
        </w:rPr>
        <w:t>规定，上述违法行为的裁量幅度为“</w:t>
      </w:r>
      <w:r>
        <w:rPr>
          <w:rFonts w:hint="eastAsia" w:ascii="仿宋_GB2312" w:hAnsi="仿宋" w:eastAsia="仿宋_GB2312" w:cs="仿宋_GB2312"/>
          <w:color w:val="000000" w:themeColor="text1"/>
          <w:sz w:val="32"/>
          <w:szCs w:val="32"/>
          <w:lang w:eastAsia="zh-CN"/>
          <w14:textFill>
            <w14:solidFill>
              <w14:schemeClr w14:val="tx1"/>
            </w14:solidFill>
          </w14:textFill>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并处50万元以上200万元以下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sz w:val="32"/>
          <w:szCs w:val="32"/>
          <w:lang w:val="en-US" w:eastAsia="zh-CN"/>
        </w:rPr>
        <w:t>；情节严重的，</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并处200万元以上500万元以下</w:t>
      </w:r>
      <w:r>
        <w:rPr>
          <w:rFonts w:hint="eastAsia" w:ascii="仿宋_GB2312" w:hAnsi="仿宋" w:eastAsia="仿宋_GB2312" w:cs="仿宋_GB2312"/>
          <w:color w:val="000000" w:themeColor="text1"/>
          <w:sz w:val="32"/>
          <w:szCs w:val="32"/>
          <w14:textFill>
            <w14:solidFill>
              <w14:schemeClr w14:val="tx1"/>
            </w14:solidFill>
          </w14:textFill>
        </w:rPr>
        <w:t>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对其法定代表人、主要负责人、直接负责的主管人员和其他直接责任人员处以其上一年度从本企业取得收入的1倍以上10倍以下罚款</w:t>
      </w:r>
      <w:r>
        <w:rPr>
          <w:rFonts w:hint="eastAsia" w:ascii="仿宋_GB2312" w:hAnsi="仿宋" w:eastAsia="仿宋_GB2312" w:cs="仿宋_GB2312"/>
          <w:color w:val="000000" w:themeColor="text1"/>
          <w:sz w:val="32"/>
          <w:szCs w:val="32"/>
          <w14:textFill>
            <w14:solidFill>
              <w14:schemeClr w14:val="tx1"/>
            </w14:solidFill>
          </w14:textFill>
        </w:rPr>
        <w:t>”，按照不同</w:t>
      </w:r>
      <w:r>
        <w:rPr>
          <w:rFonts w:hint="eastAsia" w:ascii="仿宋_GB2312" w:hAnsi="仿宋" w:eastAsia="仿宋_GB2312" w:cs="仿宋_GB2312"/>
          <w:sz w:val="32"/>
          <w:szCs w:val="32"/>
        </w:rPr>
        <w:t>违法情节划分为</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并处50万元以上125万元以下罚款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并处125万元以上200万元以下罚款</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14:textFill>
            <w14:solidFill>
              <w14:schemeClr w14:val="tx1"/>
            </w14:solidFill>
          </w14:textFill>
        </w:rPr>
        <w:t>并处200万元以上350万元以下罚款。对其法定代表人、主要负责人、直接负责的主管人员和其他直接责任人员处以其上一年度从本企业取得收入的1倍以上5倍以下罚款</w:t>
      </w:r>
      <w:r>
        <w:rPr>
          <w:rFonts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sz w:val="32"/>
          <w:szCs w:val="32"/>
          <w:lang w:val="en-US" w:eastAsia="zh-CN"/>
        </w:rPr>
        <w:t>责令改正，给予警告，没收违法所得，</w:t>
      </w:r>
      <w:r>
        <w:rPr>
          <w:rFonts w:hint="eastAsia" w:ascii="仿宋_GB2312" w:hAnsi="仿宋" w:eastAsia="仿宋_GB2312" w:cs="仿宋_GB2312"/>
          <w:color w:val="000000" w:themeColor="text1"/>
          <w:sz w:val="32"/>
          <w:szCs w:val="32"/>
          <w:lang w:val="en-US" w:eastAsia="zh-CN"/>
          <w14:textFill>
            <w14:solidFill>
              <w14:schemeClr w14:val="tx1"/>
            </w14:solidFill>
          </w14:textFill>
        </w:rPr>
        <w:t>并处350万元以上500万元以下罚款。对其法定代表人、主要负责人、直接负责的主管人员和其他直接责任人员处以其上一年度从本企业取得收入的5倍以上10倍以下罚款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 w:eastAsia="仿宋_GB2312" w:cs="仿宋_GB2312"/>
          <w:color w:val="000000" w:themeColor="text1"/>
          <w:sz w:val="32"/>
          <w:szCs w:val="32"/>
          <w14:textFill>
            <w14:solidFill>
              <w14:schemeClr w14:val="tx1"/>
            </w14:solidFill>
          </w14:textFill>
        </w:rPr>
        <w:t>个基础裁量阶次。</w:t>
      </w:r>
    </w:p>
    <w:p>
      <w:pPr>
        <w:spacing w:line="560" w:lineRule="exact"/>
        <w:ind w:firstLine="642" w:firstLineChars="200"/>
        <w:jc w:val="center"/>
        <w:rPr>
          <w:rFonts w:ascii="仿宋_GB2312" w:hAnsi="仿宋" w:eastAsia="仿宋_GB2312" w:cs="Times New Roman"/>
          <w:b/>
          <w:bCs/>
          <w:sz w:val="32"/>
          <w:szCs w:val="32"/>
        </w:rPr>
      </w:pPr>
    </w:p>
    <w:p>
      <w:pPr>
        <w:pStyle w:val="2"/>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第三节 北京市储备粮管理</w:t>
      </w:r>
    </w:p>
    <w:p>
      <w:pPr>
        <w:spacing w:line="560" w:lineRule="exact"/>
        <w:jc w:val="center"/>
        <w:rPr>
          <w:rFonts w:ascii="仿宋_GB2312" w:hAnsi="黑体" w:eastAsia="仿宋_GB2312" w:cs="Times New Roman"/>
          <w:b/>
          <w:sz w:val="32"/>
          <w:szCs w:val="32"/>
        </w:rPr>
      </w:pP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val="en-US" w:eastAsia="zh-CN"/>
        </w:rPr>
        <w:t>三十一</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rPr>
        <w:t xml:space="preserve"> 承储企业违反《北京市储备粮管理办法》第八条第一款第</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项规定，不执行市粮食</w:t>
      </w:r>
      <w:r>
        <w:rPr>
          <w:rFonts w:hint="eastAsia" w:ascii="仿宋_GB2312" w:hAnsi="仿宋" w:eastAsia="仿宋_GB2312" w:cs="仿宋_GB2312"/>
          <w:sz w:val="32"/>
          <w:szCs w:val="32"/>
          <w:lang w:eastAsia="zh-CN"/>
        </w:rPr>
        <w:t>和储备部门的</w:t>
      </w:r>
      <w:r>
        <w:rPr>
          <w:rFonts w:hint="eastAsia" w:ascii="仿宋_GB2312" w:hAnsi="仿宋" w:eastAsia="仿宋_GB2312" w:cs="仿宋_GB2312"/>
          <w:sz w:val="32"/>
          <w:szCs w:val="32"/>
        </w:rPr>
        <w:t>出入库要求的，其行为属于基础裁量</w:t>
      </w: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档。依据《北京市储备粮管理办法》第二十条规定，上述违法行为的裁量幅度为“</w:t>
      </w:r>
      <w:r>
        <w:rPr>
          <w:rFonts w:hint="eastAsia" w:ascii="仿宋_GB2312" w:hAnsi="仿宋" w:eastAsia="仿宋_GB2312" w:cs="仿宋_GB2312"/>
          <w:sz w:val="32"/>
          <w:szCs w:val="32"/>
          <w:lang w:val="en-US" w:eastAsia="zh-CN"/>
        </w:rPr>
        <w:t>处</w:t>
      </w:r>
      <w:r>
        <w:rPr>
          <w:rFonts w:ascii="仿宋_GB2312" w:hAnsi="仿宋" w:eastAsia="仿宋_GB2312" w:cs="仿宋_GB2312"/>
          <w:sz w:val="32"/>
          <w:szCs w:val="32"/>
        </w:rPr>
        <w:t>3</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不设立基础裁量阶次。。</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三十二</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承储企业违反《北京市储备粮管理办法》第十九条规定，拒绝、阻挠或者干涉监督检查人员依法履行监督检查职责的，其行为属于基础裁量</w:t>
      </w: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档。依据《北京市储备粮管理办法》第二十</w:t>
      </w:r>
      <w:r>
        <w:rPr>
          <w:rFonts w:hint="eastAsia" w:ascii="仿宋_GB2312" w:hAnsi="仿宋" w:eastAsia="仿宋_GB2312" w:cs="仿宋_GB2312"/>
          <w:sz w:val="32"/>
          <w:szCs w:val="32"/>
          <w:lang w:eastAsia="zh-CN"/>
        </w:rPr>
        <w:t>一</w:t>
      </w:r>
      <w:r>
        <w:rPr>
          <w:rFonts w:hint="eastAsia" w:ascii="仿宋_GB2312" w:hAnsi="仿宋" w:eastAsia="仿宋_GB2312" w:cs="仿宋_GB2312"/>
          <w:sz w:val="32"/>
          <w:szCs w:val="32"/>
        </w:rPr>
        <w:t>条规定，上述违法行为的裁量幅度为“处</w:t>
      </w:r>
      <w:r>
        <w:rPr>
          <w:rFonts w:ascii="仿宋_GB2312" w:hAnsi="仿宋" w:eastAsia="仿宋_GB2312" w:cs="仿宋_GB2312"/>
          <w:sz w:val="32"/>
          <w:szCs w:val="32"/>
        </w:rPr>
        <w:t>3</w:t>
      </w:r>
      <w:r>
        <w:rPr>
          <w:rFonts w:hint="eastAsia" w:ascii="仿宋_GB2312" w:hAnsi="仿宋" w:eastAsia="仿宋_GB2312" w:cs="仿宋_GB2312"/>
          <w:sz w:val="32"/>
          <w:szCs w:val="32"/>
        </w:rPr>
        <w:t>万元以下罚款”。不设立基础裁量阶次。</w:t>
      </w:r>
    </w:p>
    <w:p>
      <w:pPr>
        <w:spacing w:line="560" w:lineRule="exact"/>
        <w:ind w:firstLine="642" w:firstLineChars="200"/>
        <w:jc w:val="center"/>
        <w:rPr>
          <w:rFonts w:ascii="仿宋_GB2312" w:hAnsi="仿宋" w:eastAsia="仿宋_GB2312" w:cs="Times New Roman"/>
          <w:b/>
          <w:bCs/>
          <w:sz w:val="32"/>
          <w:szCs w:val="32"/>
        </w:rPr>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第四节 粮油仓储管理</w:t>
      </w:r>
    </w:p>
    <w:p>
      <w:pPr>
        <w:spacing w:line="560" w:lineRule="exact"/>
        <w:jc w:val="center"/>
        <w:rPr>
          <w:rFonts w:ascii="仿宋_GB2312" w:hAnsi="黑体" w:eastAsia="仿宋_GB2312" w:cs="Times New Roman"/>
          <w:b/>
          <w:sz w:val="32"/>
          <w:szCs w:val="32"/>
        </w:rPr>
      </w:pPr>
    </w:p>
    <w:p>
      <w:pPr>
        <w:spacing w:line="560" w:lineRule="exact"/>
        <w:ind w:firstLine="636"/>
        <w:jc w:val="left"/>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三十三</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rPr>
        <w:t>粮油仓储单位违反《粮油仓储管理办法》第六条规定，未在规定时间向粮食行政管理部门备案的，其行为属于基础裁量</w:t>
      </w:r>
      <w:r>
        <w:rPr>
          <w:rFonts w:ascii="仿宋_GB2312" w:hAnsi="仿宋" w:eastAsia="仿宋_GB2312" w:cs="仿宋_GB2312"/>
          <w:sz w:val="32"/>
          <w:szCs w:val="32"/>
        </w:rPr>
        <w:t>C</w:t>
      </w:r>
      <w:r>
        <w:rPr>
          <w:rFonts w:hint="eastAsia" w:ascii="仿宋_GB2312" w:hAnsi="仿宋" w:eastAsia="仿宋_GB2312" w:cs="仿宋_GB2312"/>
          <w:sz w:val="32"/>
          <w:szCs w:val="32"/>
        </w:rPr>
        <w:t>档。依据《粮油仓储管理办法》第二十八条的规定，上述违法行为</w:t>
      </w:r>
      <w:r>
        <w:rPr>
          <w:rFonts w:hint="eastAsia" w:ascii="仿宋_GB2312" w:hAnsi="仿宋" w:eastAsia="仿宋_GB2312" w:cs="仿宋_GB2312"/>
          <w:color w:val="000000" w:themeColor="text1"/>
          <w:sz w:val="32"/>
          <w:szCs w:val="32"/>
          <w14:textFill>
            <w14:solidFill>
              <w14:schemeClr w14:val="tx1"/>
            </w14:solidFill>
          </w14:textFill>
        </w:rPr>
        <w:t>的裁量幅度为“责令改正，给予警告；拒不改正的，处</w:t>
      </w: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万元以下罚款”</w:t>
      </w:r>
      <w:r>
        <w:rPr>
          <w:rFonts w:hint="eastAsia" w:ascii="仿宋_GB2312" w:hAnsi="仿宋" w:eastAsia="仿宋_GB2312"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按照不同违法情节划分为“责令改正，给予警告”“拒不改正的，处</w:t>
      </w: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万元以下罚款”两个基础裁量阶次。</w:t>
      </w:r>
    </w:p>
    <w:p>
      <w:pPr>
        <w:spacing w:line="560" w:lineRule="exact"/>
        <w:ind w:firstLine="636"/>
        <w:jc w:val="left"/>
        <w:rPr>
          <w:rFonts w:ascii="仿宋_GB2312" w:hAnsi="仿宋" w:eastAsia="仿宋_GB2312" w:cs="仿宋_GB2312"/>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三十四</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rPr>
        <w:t>粮油仓储单位违反《粮油仓储管理办法》第六条规定，备案内容存在弄虚作假的，其行为属于基础裁量</w:t>
      </w:r>
      <w:r>
        <w:rPr>
          <w:rFonts w:ascii="仿宋_GB2312" w:hAnsi="仿宋" w:eastAsia="仿宋_GB2312" w:cs="仿宋_GB2312"/>
          <w:sz w:val="32"/>
          <w:szCs w:val="32"/>
        </w:rPr>
        <w:t>C</w:t>
      </w:r>
      <w:r>
        <w:rPr>
          <w:rFonts w:hint="eastAsia" w:ascii="仿宋_GB2312" w:hAnsi="仿宋" w:eastAsia="仿宋_GB2312" w:cs="仿宋_GB2312"/>
          <w:sz w:val="32"/>
          <w:szCs w:val="32"/>
        </w:rPr>
        <w:t>档。依据《粮油仓储管理办法》第二十八条规定，上述违法行为的裁量幅度为“责令改正，给予警告；拒不改正的，处</w:t>
      </w:r>
      <w:r>
        <w:rPr>
          <w:rFonts w:ascii="仿宋_GB2312" w:hAnsi="仿宋" w:eastAsia="仿宋_GB2312" w:cs="仿宋_GB2312"/>
          <w:sz w:val="32"/>
          <w:szCs w:val="32"/>
        </w:rPr>
        <w:t>1</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按照不同违法情节划分为“责令改正，给予警告”“</w:t>
      </w:r>
      <w:r>
        <w:rPr>
          <w:rFonts w:hint="eastAsia" w:ascii="仿宋_GB2312" w:hAnsi="仿宋" w:eastAsia="仿宋_GB2312" w:cs="仿宋_GB2312"/>
          <w:color w:val="000000" w:themeColor="text1"/>
          <w:sz w:val="32"/>
          <w:szCs w:val="32"/>
          <w14:textFill>
            <w14:solidFill>
              <w14:schemeClr w14:val="tx1"/>
            </w14:solidFill>
          </w14:textFill>
        </w:rPr>
        <w:t>拒不改正的，</w:t>
      </w:r>
      <w:r>
        <w:rPr>
          <w:rFonts w:hint="eastAsia" w:ascii="仿宋_GB2312" w:hAnsi="仿宋" w:eastAsia="仿宋_GB2312" w:cs="仿宋_GB2312"/>
          <w:sz w:val="32"/>
          <w:szCs w:val="32"/>
        </w:rPr>
        <w:t>处</w:t>
      </w:r>
      <w:r>
        <w:rPr>
          <w:rFonts w:ascii="仿宋_GB2312" w:hAnsi="仿宋" w:eastAsia="仿宋_GB2312" w:cs="仿宋_GB2312"/>
          <w:sz w:val="32"/>
          <w:szCs w:val="32"/>
        </w:rPr>
        <w:t>1</w:t>
      </w:r>
      <w:r>
        <w:rPr>
          <w:rFonts w:hint="eastAsia" w:ascii="仿宋_GB2312" w:hAnsi="仿宋" w:eastAsia="仿宋_GB2312" w:cs="仿宋_GB2312"/>
          <w:sz w:val="32"/>
          <w:szCs w:val="32"/>
        </w:rPr>
        <w:t>万元以下罚款”两个基础裁量阶次。</w:t>
      </w:r>
    </w:p>
    <w:p>
      <w:pPr>
        <w:spacing w:line="560" w:lineRule="exact"/>
        <w:ind w:firstLine="636"/>
        <w:jc w:val="left"/>
        <w:rPr>
          <w:rFonts w:ascii="仿宋_GB2312" w:hAnsi="仿宋" w:eastAsia="仿宋_GB2312" w:cs="Times New Roman"/>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三十五</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粮油仓储单位违反《粮油仓储管理办法》第七条第</w:t>
      </w:r>
      <w:r>
        <w:rPr>
          <w:rFonts w:hint="eastAsia" w:ascii="仿宋_GB2312" w:hAnsi="仿宋" w:eastAsia="仿宋_GB2312" w:cs="仿宋_GB2312"/>
          <w:sz w:val="32"/>
          <w:szCs w:val="32"/>
          <w:lang w:eastAsia="zh-CN"/>
        </w:rPr>
        <w:t>（一）</w:t>
      </w:r>
      <w:r>
        <w:rPr>
          <w:rFonts w:hint="eastAsia" w:ascii="仿宋_GB2312" w:hAnsi="仿宋" w:eastAsia="仿宋_GB2312" w:cs="仿宋_GB2312"/>
          <w:sz w:val="32"/>
          <w:szCs w:val="32"/>
        </w:rPr>
        <w:t>项规定，</w:t>
      </w:r>
      <w:r>
        <w:rPr>
          <w:rFonts w:hint="eastAsia" w:ascii="仿宋_GB2312" w:hAnsi="仿宋" w:eastAsia="仿宋_GB2312" w:cs="仿宋_GB2312"/>
          <w:sz w:val="32"/>
          <w:szCs w:val="32"/>
          <w:lang w:val="en-US" w:eastAsia="zh-CN"/>
        </w:rPr>
        <w:t>未拥有固定经营场地，或者不</w:t>
      </w:r>
      <w:r>
        <w:rPr>
          <w:rFonts w:hint="eastAsia" w:ascii="仿宋_GB2312" w:hAnsi="仿宋" w:eastAsia="仿宋_GB2312" w:cs="仿宋_GB2312"/>
          <w:sz w:val="32"/>
          <w:szCs w:val="32"/>
          <w:highlight w:val="none"/>
          <w:lang w:val="en-US" w:eastAsia="zh-CN"/>
        </w:rPr>
        <w:t>符合</w:t>
      </w:r>
      <w:r>
        <w:rPr>
          <w:rFonts w:hint="eastAsia" w:ascii="仿宋_GB2312" w:hAnsi="仿宋" w:eastAsia="仿宋_GB2312" w:cs="仿宋_GB2312"/>
          <w:sz w:val="32"/>
          <w:szCs w:val="32"/>
        </w:rPr>
        <w:t>《粮油仓储管理办法》</w:t>
      </w:r>
      <w:r>
        <w:rPr>
          <w:rFonts w:hint="eastAsia" w:ascii="仿宋_GB2312" w:hAnsi="仿宋" w:eastAsia="仿宋_GB2312" w:cs="仿宋_GB2312"/>
          <w:sz w:val="32"/>
          <w:szCs w:val="32"/>
          <w:lang w:val="en-US" w:eastAsia="zh-CN"/>
        </w:rPr>
        <w:t>有关污染源、危险源安全距离的规定的</w:t>
      </w:r>
      <w:r>
        <w:rPr>
          <w:rFonts w:hint="eastAsia" w:ascii="仿宋_GB2312" w:hAnsi="仿宋" w:eastAsia="仿宋_GB2312" w:cs="仿宋_GB2312"/>
          <w:sz w:val="32"/>
          <w:szCs w:val="32"/>
        </w:rPr>
        <w:t>，其行为属于基础裁量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档。依据《粮油仓储管理办法》第二十九条规定，上述违法行为的裁量幅度为“责令改正，给予警告；</w:t>
      </w:r>
      <w:r>
        <w:rPr>
          <w:rFonts w:hint="eastAsia" w:ascii="仿宋_GB2312" w:hAnsi="仿宋" w:eastAsia="仿宋_GB2312" w:cs="仿宋_GB2312"/>
          <w:sz w:val="32"/>
          <w:szCs w:val="32"/>
          <w:lang w:eastAsia="zh-CN"/>
        </w:rPr>
        <w:t>拒不改正的，处</w:t>
      </w:r>
      <w:r>
        <w:rPr>
          <w:rFonts w:ascii="仿宋_GB2312" w:hAnsi="仿宋" w:eastAsia="仿宋_GB2312" w:cs="仿宋_GB2312"/>
          <w:sz w:val="32"/>
          <w:szCs w:val="32"/>
        </w:rPr>
        <w:t>1</w:t>
      </w:r>
      <w:r>
        <w:rPr>
          <w:rFonts w:hint="eastAsia" w:ascii="仿宋_GB2312" w:hAnsi="仿宋" w:eastAsia="仿宋_GB2312" w:cs="仿宋_GB2312"/>
          <w:sz w:val="32"/>
          <w:szCs w:val="32"/>
        </w:rPr>
        <w:t>万元以上</w:t>
      </w:r>
      <w:r>
        <w:rPr>
          <w:rFonts w:ascii="仿宋_GB2312" w:hAnsi="仿宋" w:eastAsia="仿宋_GB2312" w:cs="仿宋_GB2312"/>
          <w:sz w:val="32"/>
          <w:szCs w:val="32"/>
        </w:rPr>
        <w:t>3</w:t>
      </w:r>
      <w:r>
        <w:rPr>
          <w:rFonts w:hint="eastAsia" w:ascii="仿宋_GB2312" w:hAnsi="仿宋" w:eastAsia="仿宋_GB2312" w:cs="仿宋_GB2312"/>
          <w:sz w:val="32"/>
          <w:szCs w:val="32"/>
        </w:rPr>
        <w:t>万元以下罚款”，按照不同违法情节划分为“责令改正，给予警告”“</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w:t>
      </w:r>
      <w:r>
        <w:rPr>
          <w:rFonts w:ascii="仿宋_GB2312" w:hAnsi="仿宋" w:eastAsia="仿宋_GB2312" w:cs="仿宋_GB2312"/>
          <w:sz w:val="32"/>
          <w:szCs w:val="32"/>
        </w:rPr>
        <w:t>1</w:t>
      </w:r>
      <w:r>
        <w:rPr>
          <w:rFonts w:hint="eastAsia" w:ascii="仿宋_GB2312" w:hAnsi="仿宋" w:eastAsia="仿宋_GB2312" w:cs="仿宋_GB2312"/>
          <w:sz w:val="32"/>
          <w:szCs w:val="32"/>
        </w:rPr>
        <w:t>万元以上</w:t>
      </w:r>
      <w:r>
        <w:rPr>
          <w:rFonts w:ascii="仿宋_GB2312" w:hAnsi="仿宋" w:eastAsia="仿宋_GB2312" w:cs="仿宋_GB2312"/>
          <w:sz w:val="32"/>
          <w:szCs w:val="32"/>
        </w:rPr>
        <w:t>2</w:t>
      </w:r>
      <w:r>
        <w:rPr>
          <w:rFonts w:hint="eastAsia" w:ascii="仿宋_GB2312" w:hAnsi="仿宋" w:eastAsia="仿宋_GB2312" w:cs="仿宋_GB2312"/>
          <w:sz w:val="32"/>
          <w:szCs w:val="32"/>
        </w:rPr>
        <w:t>万元以下罚款”“</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w:t>
      </w:r>
      <w:r>
        <w:rPr>
          <w:rFonts w:ascii="仿宋_GB2312" w:hAnsi="仿宋" w:eastAsia="仿宋_GB2312" w:cs="仿宋_GB2312"/>
          <w:sz w:val="32"/>
          <w:szCs w:val="32"/>
        </w:rPr>
        <w:t>2</w:t>
      </w:r>
      <w:r>
        <w:rPr>
          <w:rFonts w:hint="eastAsia" w:ascii="仿宋_GB2312" w:hAnsi="仿宋" w:eastAsia="仿宋_GB2312" w:cs="仿宋_GB2312"/>
          <w:sz w:val="32"/>
          <w:szCs w:val="32"/>
        </w:rPr>
        <w:t>万元以上</w:t>
      </w:r>
      <w:r>
        <w:rPr>
          <w:rFonts w:ascii="仿宋_GB2312" w:hAnsi="仿宋" w:eastAsia="仿宋_GB2312" w:cs="仿宋_GB2312"/>
          <w:sz w:val="32"/>
          <w:szCs w:val="32"/>
        </w:rPr>
        <w:t>3</w:t>
      </w:r>
      <w:r>
        <w:rPr>
          <w:rFonts w:hint="eastAsia" w:ascii="仿宋_GB2312" w:hAnsi="仿宋" w:eastAsia="仿宋_GB2312" w:cs="仿宋_GB2312"/>
          <w:sz w:val="32"/>
          <w:szCs w:val="32"/>
        </w:rPr>
        <w:t>万元以下罚款”三个基础裁量阶次。</w:t>
      </w:r>
    </w:p>
    <w:p>
      <w:pPr>
        <w:spacing w:line="560" w:lineRule="exact"/>
        <w:ind w:firstLine="640" w:firstLineChars="200"/>
        <w:jc w:val="left"/>
        <w:rPr>
          <w:rFonts w:hint="eastAsia" w:ascii="仿宋_GB2312" w:hAnsi="仿宋" w:eastAsia="仿宋_GB2312" w:cs="仿宋_GB2312"/>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三十六</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rPr>
        <w:t xml:space="preserve"> 粮油仓储单位违反《粮油仓储管理办法》第七条第</w:t>
      </w:r>
      <w:r>
        <w:rPr>
          <w:rFonts w:hint="eastAsia" w:ascii="仿宋_GB2312" w:hAnsi="仿宋" w:eastAsia="仿宋_GB2312" w:cs="仿宋_GB2312"/>
          <w:sz w:val="32"/>
          <w:szCs w:val="32"/>
          <w:lang w:eastAsia="zh-CN"/>
        </w:rPr>
        <w:t>（二）</w:t>
      </w:r>
      <w:r>
        <w:rPr>
          <w:rFonts w:hint="eastAsia" w:ascii="仿宋_GB2312" w:hAnsi="仿宋" w:eastAsia="仿宋_GB2312" w:cs="仿宋_GB2312"/>
          <w:sz w:val="32"/>
          <w:szCs w:val="32"/>
        </w:rPr>
        <w:t>项规定，</w:t>
      </w:r>
      <w:r>
        <w:rPr>
          <w:rFonts w:hint="eastAsia" w:ascii="仿宋_GB2312" w:hAnsi="仿宋" w:eastAsia="仿宋_GB2312" w:cs="仿宋_GB2312"/>
          <w:sz w:val="32"/>
          <w:szCs w:val="32"/>
          <w:lang w:val="en-US" w:eastAsia="zh-CN"/>
        </w:rPr>
        <w:t>未拥有与从事粮油仓储活动相适应的设施设备，</w:t>
      </w:r>
      <w:r>
        <w:rPr>
          <w:rFonts w:hint="eastAsia" w:ascii="仿宋_GB2312" w:hAnsi="仿宋" w:eastAsia="仿宋_GB2312" w:cs="仿宋_GB2312"/>
          <w:sz w:val="32"/>
          <w:szCs w:val="32"/>
          <w:highlight w:val="none"/>
          <w:lang w:val="en-US" w:eastAsia="zh-CN"/>
        </w:rPr>
        <w:t>或者不符合</w:t>
      </w:r>
      <w:r>
        <w:rPr>
          <w:rFonts w:hint="eastAsia" w:ascii="仿宋_GB2312" w:hAnsi="仿宋" w:eastAsia="仿宋_GB2312" w:cs="仿宋_GB2312"/>
          <w:sz w:val="32"/>
          <w:szCs w:val="32"/>
          <w:lang w:val="en-US" w:eastAsia="zh-CN"/>
        </w:rPr>
        <w:t>粮油储藏技术规范的要求的</w:t>
      </w:r>
      <w:r>
        <w:rPr>
          <w:rFonts w:hint="eastAsia" w:ascii="仿宋_GB2312" w:hAnsi="仿宋" w:eastAsia="仿宋_GB2312" w:cs="仿宋_GB2312"/>
          <w:sz w:val="32"/>
          <w:szCs w:val="32"/>
        </w:rPr>
        <w:t>，其行为属于基础裁量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档。依据《粮油仓储管理办法》第二十九条规定，上述违法行为的裁量幅度为“责令改正，给予警告；</w:t>
      </w:r>
      <w:r>
        <w:rPr>
          <w:rFonts w:hint="eastAsia" w:ascii="仿宋_GB2312" w:hAnsi="仿宋" w:eastAsia="仿宋_GB2312" w:cs="仿宋_GB2312"/>
          <w:sz w:val="32"/>
          <w:szCs w:val="32"/>
          <w:lang w:eastAsia="zh-CN"/>
        </w:rPr>
        <w:t>拒不改正的，处</w:t>
      </w:r>
      <w:r>
        <w:rPr>
          <w:rFonts w:hint="eastAsia" w:ascii="仿宋_GB2312" w:hAnsi="仿宋" w:eastAsia="仿宋_GB2312" w:cs="仿宋_GB2312"/>
          <w:sz w:val="32"/>
          <w:szCs w:val="32"/>
        </w:rPr>
        <w:t>1万元以上3万元以下罚款”，按照不同违法情节划分为“责令改正，给予警告”“</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处1万元以上2万元以下罚款”“</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处2万元以上3万元以下罚款”三个基础裁量阶次。</w:t>
      </w:r>
    </w:p>
    <w:p>
      <w:pPr>
        <w:spacing w:line="560" w:lineRule="exact"/>
        <w:ind w:firstLine="640" w:firstLineChars="200"/>
        <w:jc w:val="left"/>
        <w:rPr>
          <w:rFonts w:hint="eastAsia" w:ascii="仿宋_GB2312" w:hAnsi="仿宋" w:eastAsia="仿宋_GB2312" w:cs="仿宋_GB2312"/>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三十七</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粮油仓储单位违反《粮油仓储管理办法》第七条第</w:t>
      </w:r>
      <w:r>
        <w:rPr>
          <w:rFonts w:hint="eastAsia" w:ascii="仿宋_GB2312" w:hAnsi="仿宋" w:eastAsia="仿宋_GB2312" w:cs="仿宋_GB2312"/>
          <w:sz w:val="32"/>
          <w:szCs w:val="32"/>
          <w:lang w:eastAsia="zh-CN"/>
        </w:rPr>
        <w:t>（三）</w:t>
      </w:r>
      <w:r>
        <w:rPr>
          <w:rFonts w:hint="eastAsia" w:ascii="仿宋_GB2312" w:hAnsi="仿宋" w:eastAsia="仿宋_GB2312" w:cs="仿宋_GB2312"/>
          <w:sz w:val="32"/>
          <w:szCs w:val="32"/>
        </w:rPr>
        <w:t>项规定，</w:t>
      </w:r>
      <w:r>
        <w:rPr>
          <w:rFonts w:hint="eastAsia" w:ascii="仿宋_GB2312" w:hAnsi="仿宋" w:eastAsia="仿宋_GB2312" w:cs="仿宋_GB2312"/>
          <w:sz w:val="32"/>
          <w:szCs w:val="32"/>
          <w:lang w:val="en-US" w:eastAsia="zh-CN"/>
        </w:rPr>
        <w:t>未拥有</w:t>
      </w:r>
      <w:r>
        <w:rPr>
          <w:rFonts w:hint="eastAsia" w:ascii="仿宋_GB2312" w:hAnsi="仿宋" w:eastAsia="仿宋_GB2312" w:cs="仿宋_GB2312"/>
          <w:sz w:val="32"/>
          <w:szCs w:val="32"/>
        </w:rPr>
        <w:t>相应的专业技术管理人员</w:t>
      </w:r>
      <w:r>
        <w:rPr>
          <w:rFonts w:hint="eastAsia" w:ascii="仿宋_GB2312" w:hAnsi="仿宋" w:eastAsia="仿宋_GB2312" w:cs="仿宋_GB2312"/>
          <w:sz w:val="32"/>
          <w:szCs w:val="32"/>
          <w:lang w:val="en-US" w:eastAsia="zh-CN"/>
        </w:rPr>
        <w:t>的</w:t>
      </w:r>
      <w:r>
        <w:rPr>
          <w:rFonts w:hint="eastAsia" w:ascii="仿宋_GB2312" w:hAnsi="仿宋" w:eastAsia="仿宋_GB2312" w:cs="仿宋_GB2312"/>
          <w:sz w:val="32"/>
          <w:szCs w:val="32"/>
        </w:rPr>
        <w:t>，其行为属于基础裁量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档。依据《粮油仓储管理办法》第二十九条规定，上述违法行为的裁量幅度为“责令改正，给予警告；</w:t>
      </w:r>
      <w:r>
        <w:rPr>
          <w:rFonts w:hint="eastAsia" w:ascii="仿宋_GB2312" w:hAnsi="仿宋" w:eastAsia="仿宋_GB2312" w:cs="仿宋_GB2312"/>
          <w:sz w:val="32"/>
          <w:szCs w:val="32"/>
          <w:lang w:eastAsia="zh-CN"/>
        </w:rPr>
        <w:t>拒不改正的，处</w:t>
      </w:r>
      <w:r>
        <w:rPr>
          <w:rFonts w:hint="eastAsia" w:ascii="仿宋_GB2312" w:hAnsi="仿宋" w:eastAsia="仿宋_GB2312" w:cs="仿宋_GB2312"/>
          <w:sz w:val="32"/>
          <w:szCs w:val="32"/>
        </w:rPr>
        <w:t>1万元以上3万元以下罚款”，按照不同违法情节划分为“责令改正，给予警告”“</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处1万元以上2万元以下罚款”“</w:t>
      </w:r>
      <w:r>
        <w:rPr>
          <w:rFonts w:hint="eastAsia" w:ascii="仿宋_GB2312" w:hAnsi="仿宋" w:eastAsia="仿宋_GB2312" w:cs="仿宋_GB2312"/>
          <w:sz w:val="32"/>
          <w:szCs w:val="32"/>
          <w:lang w:eastAsia="zh-CN"/>
        </w:rPr>
        <w:t>拒不改正的，</w:t>
      </w:r>
      <w:r>
        <w:rPr>
          <w:rFonts w:hint="eastAsia" w:ascii="仿宋_GB2312" w:hAnsi="仿宋" w:eastAsia="仿宋_GB2312" w:cs="仿宋_GB2312"/>
          <w:sz w:val="32"/>
          <w:szCs w:val="32"/>
        </w:rPr>
        <w:t>处2万元以上3万元以下罚款”三个基础裁量阶次。</w:t>
      </w:r>
    </w:p>
    <w:p>
      <w:pPr>
        <w:spacing w:line="560" w:lineRule="exact"/>
        <w:ind w:firstLine="640" w:firstLineChars="200"/>
        <w:jc w:val="left"/>
        <w:rPr>
          <w:rFonts w:hint="eastAsia" w:ascii="仿宋_GB2312" w:hAnsi="仿宋" w:eastAsia="仿宋_GB2312" w:cs="仿宋_GB2312"/>
          <w:sz w:val="32"/>
          <w:szCs w:val="32"/>
        </w:rPr>
      </w:pPr>
      <w:r>
        <w:rPr>
          <w:rFonts w:hint="eastAsia" w:ascii="黑体" w:hAnsi="黑体" w:eastAsia="黑体" w:cs="仿宋_GB2312"/>
          <w:sz w:val="32"/>
          <w:szCs w:val="32"/>
        </w:rPr>
        <w:t>第三十</w:t>
      </w:r>
      <w:r>
        <w:rPr>
          <w:rFonts w:hint="eastAsia" w:ascii="黑体" w:hAnsi="黑体" w:eastAsia="黑体" w:cs="仿宋_GB2312"/>
          <w:sz w:val="32"/>
          <w:szCs w:val="32"/>
          <w:lang w:eastAsia="zh-CN"/>
        </w:rPr>
        <w:t>八</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粮油仓储单位违反《粮油仓储管理办法》第八条规定，未经国家粮食行政管理部门批准，名称中使用“国家储备粮”和“中央储备粮”字样的，其行为属于基础裁量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档。依据《粮油仓储管理办法》第三十条规定，上述违法行为的裁量幅度为“责令改正，给予警告”。不设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spacing w:line="560" w:lineRule="exact"/>
        <w:ind w:firstLine="640" w:firstLineChars="200"/>
        <w:jc w:val="left"/>
        <w:rPr>
          <w:rFonts w:hint="eastAsia"/>
        </w:rPr>
      </w:pPr>
      <w:r>
        <w:rPr>
          <w:rFonts w:hint="eastAsia" w:ascii="黑体" w:hAnsi="黑体" w:eastAsia="黑体" w:cs="仿宋_GB2312"/>
          <w:sz w:val="32"/>
          <w:szCs w:val="32"/>
        </w:rPr>
        <w:t>第三十九条</w:t>
      </w:r>
      <w:r>
        <w:rPr>
          <w:rFonts w:hint="eastAsia" w:ascii="仿宋_GB2312" w:hAnsi="仿宋" w:eastAsia="仿宋_GB2312" w:cs="仿宋_GB2312"/>
          <w:sz w:val="32"/>
          <w:szCs w:val="32"/>
        </w:rPr>
        <w:t xml:space="preserve"> 粮油仓储单位违反《粮油仓储管理办法》有关粮油出入库、储存等管理规定，其行为属于基础裁量B档。依据《粮油仓储管理办法》第三十一条规定，上述违法行为的裁量幅度为“责令改正，给予警告；</w:t>
      </w:r>
      <w:r>
        <w:rPr>
          <w:rFonts w:hint="eastAsia" w:ascii="仿宋_GB2312" w:hAnsi="仿宋" w:eastAsia="仿宋_GB2312" w:cs="仿宋_GB2312"/>
          <w:sz w:val="32"/>
          <w:szCs w:val="32"/>
          <w:lang w:eastAsia="zh-CN"/>
        </w:rPr>
        <w:t>情节严重的，</w:t>
      </w:r>
      <w:r>
        <w:rPr>
          <w:rFonts w:hint="eastAsia" w:ascii="仿宋_GB2312" w:hAnsi="仿宋" w:eastAsia="仿宋_GB2312" w:cs="仿宋_GB2312"/>
          <w:sz w:val="32"/>
          <w:szCs w:val="32"/>
          <w:lang w:val="en-US" w:eastAsia="zh-CN"/>
        </w:rPr>
        <w:t>可以并处</w:t>
      </w:r>
      <w:r>
        <w:rPr>
          <w:rFonts w:hint="eastAsia" w:ascii="仿宋_GB2312" w:hAnsi="仿宋" w:eastAsia="仿宋_GB2312" w:cs="仿宋_GB2312"/>
          <w:sz w:val="32"/>
          <w:szCs w:val="32"/>
        </w:rPr>
        <w:t>3万元以下罚款”，按照不同违法情节划分为“责令改正，给予警告”“责令改正，给予警告，</w:t>
      </w:r>
      <w:r>
        <w:rPr>
          <w:rFonts w:hint="eastAsia" w:ascii="仿宋_GB2312" w:hAnsi="仿宋" w:eastAsia="仿宋_GB2312" w:cs="仿宋_GB2312"/>
          <w:sz w:val="32"/>
          <w:szCs w:val="32"/>
          <w:lang w:val="en-US" w:eastAsia="zh-CN"/>
        </w:rPr>
        <w:t>可以</w:t>
      </w:r>
      <w:r>
        <w:rPr>
          <w:rFonts w:hint="eastAsia" w:ascii="仿宋_GB2312" w:hAnsi="仿宋" w:eastAsia="仿宋_GB2312" w:cs="仿宋_GB2312"/>
          <w:sz w:val="32"/>
          <w:szCs w:val="32"/>
        </w:rPr>
        <w:t>并处1万元以下罚款”“责令改正，给予警告，</w:t>
      </w:r>
      <w:r>
        <w:rPr>
          <w:rFonts w:hint="eastAsia" w:ascii="仿宋_GB2312" w:hAnsi="仿宋" w:eastAsia="仿宋_GB2312" w:cs="仿宋_GB2312"/>
          <w:sz w:val="32"/>
          <w:szCs w:val="32"/>
          <w:lang w:val="en-US" w:eastAsia="zh-CN"/>
        </w:rPr>
        <w:t>可以</w:t>
      </w:r>
      <w:r>
        <w:rPr>
          <w:rFonts w:hint="eastAsia" w:ascii="仿宋_GB2312" w:hAnsi="仿宋" w:eastAsia="仿宋_GB2312" w:cs="仿宋_GB2312"/>
          <w:sz w:val="32"/>
          <w:szCs w:val="32"/>
        </w:rPr>
        <w:t>并处1万元以上2万元以下罚款”“责令改正，给予警告，</w:t>
      </w:r>
      <w:r>
        <w:rPr>
          <w:rFonts w:hint="eastAsia" w:ascii="仿宋_GB2312" w:hAnsi="仿宋" w:eastAsia="仿宋_GB2312" w:cs="仿宋_GB2312"/>
          <w:sz w:val="32"/>
          <w:szCs w:val="32"/>
          <w:lang w:val="en-US" w:eastAsia="zh-CN"/>
        </w:rPr>
        <w:t>可以</w:t>
      </w:r>
      <w:r>
        <w:rPr>
          <w:rFonts w:hint="eastAsia" w:ascii="仿宋_GB2312" w:hAnsi="仿宋" w:eastAsia="仿宋_GB2312" w:cs="仿宋_GB2312"/>
          <w:sz w:val="32"/>
          <w:szCs w:val="32"/>
        </w:rPr>
        <w:t>并处2万元以上3万元以下罚款”四个基础裁量阶次。</w:t>
      </w:r>
      <w:r>
        <w:rPr>
          <w:rFonts w:hint="eastAsia" w:ascii="仿宋_GB2312" w:hAnsi="仿宋" w:eastAsia="仿宋_GB2312" w:cs="仿宋_GB2312"/>
          <w:sz w:val="32"/>
          <w:szCs w:val="32"/>
          <w:lang w:val="en-US" w:eastAsia="zh-CN"/>
        </w:rPr>
        <w:t>造成粮油储存事故或者安全生产事故的，按照有关法律法规和国家有关规定给予处罚。</w:t>
      </w:r>
    </w:p>
    <w:p>
      <w:pPr>
        <w:pStyle w:val="2"/>
        <w:ind w:left="0" w:leftChars="0" w:firstLine="0" w:firstLineChars="0"/>
        <w:rPr>
          <w:rFonts w:hint="eastAsia"/>
        </w:rPr>
      </w:pPr>
    </w:p>
    <w:p>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第五节 国有粮油仓储物流设施保护</w:t>
      </w:r>
    </w:p>
    <w:p>
      <w:pPr>
        <w:spacing w:line="560" w:lineRule="exact"/>
        <w:jc w:val="center"/>
        <w:rPr>
          <w:rFonts w:ascii="仿宋_GB2312" w:hAnsi="黑体" w:eastAsia="仿宋_GB2312" w:cs="黑体"/>
          <w:b/>
          <w:sz w:val="32"/>
          <w:szCs w:val="32"/>
        </w:rPr>
      </w:pP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rPr>
        <w:t>违反《国有粮油仓储物流设施保护办法》第五条规定，拆除、迁移粮油仓储物流设施，非法侵占、损坏粮油仓储物流设施或者擅自改变其用途的，其行为属于基础裁量</w:t>
      </w:r>
      <w:r>
        <w:rPr>
          <w:rFonts w:ascii="仿宋_GB2312" w:hAnsi="仿宋" w:eastAsia="仿宋_GB2312" w:cs="仿宋_GB2312"/>
          <w:sz w:val="32"/>
          <w:szCs w:val="32"/>
        </w:rPr>
        <w:t>B</w:t>
      </w:r>
      <w:r>
        <w:rPr>
          <w:rFonts w:hint="eastAsia" w:ascii="仿宋_GB2312" w:hAnsi="仿宋" w:eastAsia="仿宋_GB2312" w:cs="仿宋_GB2312"/>
          <w:sz w:val="32"/>
          <w:szCs w:val="32"/>
        </w:rPr>
        <w:t>档。依据《</w:t>
      </w:r>
      <w:r>
        <w:rPr>
          <w:rFonts w:hint="eastAsia" w:ascii="仿宋_GB2312" w:hAnsi="仿宋" w:eastAsia="仿宋_GB2312" w:cs="仿宋_GB2312"/>
          <w:sz w:val="32"/>
          <w:szCs w:val="32"/>
          <w:lang w:val="en-US" w:eastAsia="zh-CN"/>
        </w:rPr>
        <w:t>国有</w:t>
      </w:r>
      <w:r>
        <w:rPr>
          <w:rFonts w:hint="eastAsia" w:ascii="仿宋_GB2312" w:hAnsi="仿宋" w:eastAsia="仿宋_GB2312" w:cs="仿宋_GB2312"/>
          <w:sz w:val="32"/>
          <w:szCs w:val="32"/>
        </w:rPr>
        <w:t>粮油仓储物流设施保护办法》第二十一条规定，上述违法行</w:t>
      </w:r>
      <w:r>
        <w:rPr>
          <w:rFonts w:hint="eastAsia" w:ascii="仿宋_GB2312" w:hAnsi="仿宋" w:eastAsia="仿宋_GB2312" w:cs="仿宋_GB2312"/>
          <w:sz w:val="32"/>
          <w:szCs w:val="32"/>
          <w:lang w:eastAsia="zh-CN"/>
        </w:rPr>
        <w:t>为</w:t>
      </w:r>
      <w:r>
        <w:rPr>
          <w:rFonts w:hint="eastAsia" w:ascii="仿宋_GB2312" w:hAnsi="仿宋" w:eastAsia="仿宋_GB2312" w:cs="仿宋_GB2312"/>
          <w:sz w:val="32"/>
          <w:szCs w:val="32"/>
        </w:rPr>
        <w:t>的裁量幅度为“责令其限期改正，并依法予以警告或者罚款；有违法所得的，没收违法所得”。不设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spacing w:line="560" w:lineRule="exact"/>
        <w:ind w:firstLine="640" w:firstLineChars="200"/>
        <w:jc w:val="left"/>
        <w:rPr>
          <w:rFonts w:ascii="仿宋_GB2312" w:hAnsi="仿宋" w:eastAsia="仿宋_GB2312" w:cs="Times New Roman"/>
          <w:sz w:val="32"/>
          <w:szCs w:val="32"/>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四十一</w:t>
      </w:r>
      <w:r>
        <w:rPr>
          <w:rFonts w:hint="eastAsia" w:ascii="黑体" w:hAnsi="黑体" w:eastAsia="黑体" w:cs="仿宋_GB2312"/>
          <w:sz w:val="32"/>
          <w:szCs w:val="32"/>
        </w:rPr>
        <w:t>条</w:t>
      </w:r>
      <w:r>
        <w:rPr>
          <w:rFonts w:hint="eastAsia" w:ascii="仿宋_GB2312" w:hAnsi="仿宋" w:eastAsia="仿宋_GB2312" w:cs="Times New Roman"/>
          <w:sz w:val="32"/>
          <w:szCs w:val="32"/>
        </w:rPr>
        <w:t xml:space="preserve"> 粮油仓储单位违反《国有粮油仓储物流设施保护办法》第六条第一款、第七条第二款、第八条第一款、第九条第一款规定，未及时备案</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拒</w:t>
      </w:r>
      <w:r>
        <w:rPr>
          <w:rFonts w:hint="eastAsia" w:ascii="仿宋_GB2312" w:hAnsi="仿宋" w:eastAsia="仿宋_GB2312" w:cs="Times New Roman"/>
          <w:sz w:val="32"/>
          <w:szCs w:val="32"/>
        </w:rPr>
        <w:t>不改正的，</w:t>
      </w:r>
      <w:r>
        <w:rPr>
          <w:rFonts w:hint="eastAsia" w:ascii="仿宋_GB2312" w:hAnsi="仿宋" w:eastAsia="仿宋_GB2312" w:cs="仿宋_GB2312"/>
          <w:sz w:val="32"/>
          <w:szCs w:val="32"/>
        </w:rPr>
        <w:t>其行为属于基础裁量</w:t>
      </w: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档。依据《</w:t>
      </w:r>
      <w:r>
        <w:rPr>
          <w:rFonts w:hint="eastAsia" w:ascii="仿宋_GB2312" w:hAnsi="仿宋" w:eastAsia="仿宋_GB2312" w:cs="仿宋_GB2312"/>
          <w:sz w:val="32"/>
          <w:szCs w:val="32"/>
          <w:lang w:eastAsia="zh-CN"/>
        </w:rPr>
        <w:t>国有</w:t>
      </w:r>
      <w:r>
        <w:rPr>
          <w:rFonts w:hint="eastAsia" w:ascii="仿宋_GB2312" w:hAnsi="仿宋" w:eastAsia="仿宋_GB2312" w:cs="仿宋_GB2312"/>
          <w:sz w:val="32"/>
          <w:szCs w:val="32"/>
        </w:rPr>
        <w:t>粮油仓储物流设施保护办法》</w:t>
      </w:r>
      <w:r>
        <w:rPr>
          <w:rFonts w:hint="eastAsia" w:ascii="仿宋_GB2312" w:hAnsi="仿宋" w:eastAsia="仿宋_GB2312" w:cs="Times New Roman"/>
          <w:sz w:val="32"/>
          <w:szCs w:val="32"/>
        </w:rPr>
        <w:t>第二十三条第一款规定，</w:t>
      </w:r>
      <w:r>
        <w:rPr>
          <w:rFonts w:hint="eastAsia" w:ascii="仿宋_GB2312" w:hAnsi="仿宋" w:eastAsia="仿宋_GB2312" w:cs="仿宋_GB2312"/>
          <w:sz w:val="32"/>
          <w:szCs w:val="32"/>
        </w:rPr>
        <w:t>上述违法行为的裁量幅度为“</w:t>
      </w:r>
      <w:r>
        <w:rPr>
          <w:rFonts w:hint="eastAsia" w:ascii="仿宋_GB2312" w:hAnsi="仿宋" w:eastAsia="仿宋_GB2312" w:cs="Times New Roman"/>
          <w:sz w:val="32"/>
          <w:szCs w:val="32"/>
        </w:rPr>
        <w:t>拒不改正的，依法予以警告或者罚款</w:t>
      </w:r>
      <w:r>
        <w:rPr>
          <w:rFonts w:hint="eastAsia" w:ascii="仿宋_GB2312" w:hAnsi="仿宋" w:eastAsia="仿宋_GB2312" w:cs="仿宋_GB2312"/>
          <w:sz w:val="32"/>
          <w:szCs w:val="32"/>
        </w:rPr>
        <w:t>”</w:t>
      </w:r>
      <w:r>
        <w:rPr>
          <w:rFonts w:hint="eastAsia" w:ascii="仿宋_GB2312" w:hAnsi="仿宋" w:eastAsia="仿宋_GB2312" w:cs="Times New Roman"/>
          <w:sz w:val="32"/>
          <w:szCs w:val="32"/>
        </w:rPr>
        <w:t>。</w:t>
      </w:r>
      <w:r>
        <w:rPr>
          <w:rFonts w:hint="eastAsia" w:ascii="仿宋_GB2312" w:hAnsi="仿宋" w:eastAsia="仿宋_GB2312" w:cs="仿宋_GB2312"/>
          <w:sz w:val="32"/>
          <w:szCs w:val="32"/>
        </w:rPr>
        <w:t>不设</w:t>
      </w:r>
      <w:r>
        <w:rPr>
          <w:rFonts w:hint="eastAsia" w:ascii="仿宋_GB2312" w:hAnsi="仿宋" w:eastAsia="仿宋_GB2312" w:cs="仿宋_GB2312"/>
          <w:sz w:val="32"/>
          <w:szCs w:val="32"/>
          <w:lang w:eastAsia="zh-CN"/>
        </w:rPr>
        <w:t>立</w:t>
      </w:r>
      <w:r>
        <w:rPr>
          <w:rFonts w:hint="eastAsia" w:ascii="仿宋_GB2312" w:hAnsi="仿宋" w:eastAsia="仿宋_GB2312" w:cs="仿宋_GB2312"/>
          <w:sz w:val="32"/>
          <w:szCs w:val="32"/>
        </w:rPr>
        <w:t>基础裁量阶次。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Times New Roman"/>
          <w:sz w:val="32"/>
          <w:szCs w:val="32"/>
        </w:rPr>
      </w:pPr>
      <w:r>
        <w:rPr>
          <w:rFonts w:hint="eastAsia" w:ascii="黑体" w:hAnsi="黑体" w:eastAsia="黑体" w:cs="黑体"/>
          <w:sz w:val="32"/>
          <w:szCs w:val="32"/>
        </w:rPr>
        <w:t>第三章 实施裁量</w:t>
      </w:r>
      <w:r>
        <w:rPr>
          <w:rFonts w:hint="eastAsia" w:ascii="黑体" w:hAnsi="黑体" w:eastAsia="黑体" w:cs="黑体"/>
          <w:sz w:val="32"/>
          <w:szCs w:val="32"/>
          <w:lang w:eastAsia="zh-CN"/>
        </w:rPr>
        <w:t>权</w:t>
      </w:r>
      <w:r>
        <w:rPr>
          <w:rFonts w:hint="eastAsia" w:ascii="黑体" w:hAnsi="黑体" w:eastAsia="黑体" w:cs="黑体"/>
          <w:sz w:val="32"/>
          <w:szCs w:val="32"/>
        </w:rPr>
        <w:t>基准制度的要求</w:t>
      </w:r>
    </w:p>
    <w:p>
      <w:pPr>
        <w:keepNext w:val="0"/>
        <w:keepLines w:val="0"/>
        <w:pageBreakBefore w:val="0"/>
        <w:kinsoku/>
        <w:wordWrap/>
        <w:overflowPunct/>
        <w:topLinePunct w:val="0"/>
        <w:autoSpaceDE/>
        <w:autoSpaceDN/>
        <w:bidi w:val="0"/>
        <w:adjustRightInd/>
        <w:snapToGrid/>
        <w:spacing w:line="560" w:lineRule="exact"/>
        <w:ind w:firstLine="642" w:firstLineChars="200"/>
        <w:jc w:val="center"/>
        <w:textAlignment w:val="auto"/>
        <w:rPr>
          <w:rFonts w:ascii="仿宋_GB2312" w:hAnsi="仿宋" w:eastAsia="仿宋_GB2312" w:cs="Times New Roman"/>
          <w:b/>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四十二</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hint="eastAsia" w:ascii="仿宋_GB2312" w:hAnsi="仿宋" w:eastAsia="仿宋_GB2312" w:cs="仿宋_GB2312"/>
          <w:sz w:val="32"/>
          <w:szCs w:val="32"/>
        </w:rPr>
        <w:t>各级粮食行政处罚部门</w:t>
      </w:r>
      <w:r>
        <w:rPr>
          <w:rFonts w:ascii="仿宋_GB2312" w:hAnsi="仿宋_GB2312" w:eastAsia="仿宋_GB2312" w:cs="仿宋_GB2312"/>
          <w:sz w:val="32"/>
        </w:rPr>
        <w:t>实施行政处罚时，应当责令当事人改正或者限期改正违法行为。</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四十三</w:t>
      </w:r>
      <w:r>
        <w:rPr>
          <w:rFonts w:hint="eastAsia" w:ascii="黑体" w:hAnsi="黑体" w:eastAsia="黑体" w:cs="仿宋_GB2312"/>
          <w:sz w:val="32"/>
          <w:szCs w:val="32"/>
          <w:highlight w:val="none"/>
        </w:rPr>
        <w:t>条</w:t>
      </w:r>
      <w:r>
        <w:rPr>
          <w:rFonts w:hint="eastAsia" w:ascii="仿宋_GB2312" w:hAnsi="仿宋" w:eastAsia="仿宋_GB2312" w:cs="仿宋_GB2312"/>
          <w:sz w:val="32"/>
          <w:szCs w:val="32"/>
          <w:highlight w:val="none"/>
        </w:rPr>
        <w:t xml:space="preserve"> </w:t>
      </w:r>
      <w:r>
        <w:rPr>
          <w:rFonts w:ascii="仿宋_GB2312" w:hAnsi="仿宋_GB2312" w:eastAsia="仿宋_GB2312" w:cs="仿宋_GB2312"/>
          <w:sz w:val="32"/>
        </w:rPr>
        <w:t>对当事人的同一个违法行为，不得给予两次以上罚款的行政处罚。同一个违法行为违反多个法律规范应当给予罚款处罚的，按照罚款数额高的规定处罚。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w:sz w:val="32"/>
          <w:szCs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四十四</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hint="eastAsia" w:ascii="仿宋_GB2312" w:hAnsi="仿宋" w:eastAsia="仿宋_GB2312" w:cs="仿宋_GB2312"/>
          <w:sz w:val="32"/>
          <w:szCs w:val="32"/>
        </w:rPr>
        <w:t>当事人有下列情形之一，应当依法从轻或者减轻行政处罚：</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（一）主动消除或者减轻违法行为危害后果的；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（二）受他人胁迫或者诱骗实施违法行为的；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（三）主动供述行政机关尚未掌握的违法行为的；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（四）配合行政机关查处违法行为有立功表现的；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（五）法律、法规、规章规定其他应当从轻或者减轻行政处罚的。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四十五</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ascii="仿宋_GB2312" w:hAnsi="仿宋_GB2312" w:eastAsia="仿宋_GB2312" w:cs="仿宋_GB2312"/>
          <w:sz w:val="32"/>
        </w:rPr>
        <w:t>违法行为轻微并及时改正，没有造成危害后果的，不予行政处罚。初次违法且危害后果轻微并及时改正的，可以不予行政处罚。</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ascii="仿宋_GB2312" w:hAnsi="仿宋_GB2312" w:eastAsia="仿宋_GB2312" w:cs="仿宋_GB2312"/>
          <w:sz w:val="32"/>
        </w:rPr>
        <w:t>当事人有证据足以证明没有主观过错的，不予行政处罚。法律、行政法规另有规定的，从其规定。</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仿宋_GB2312" w:hAnsi="仿宋_GB2312" w:eastAsia="仿宋_GB2312" w:cs="仿宋_GB2312"/>
          <w:sz w:val="32"/>
        </w:rPr>
      </w:pPr>
      <w:r>
        <w:rPr>
          <w:rFonts w:ascii="仿宋_GB2312" w:hAnsi="仿宋_GB2312" w:eastAsia="仿宋_GB2312" w:cs="仿宋_GB2312"/>
          <w:sz w:val="32"/>
        </w:rPr>
        <w:t>对当事人的违法行为依法不予行政处罚的，应当对当事人进行教育。</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四十六</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ascii="仿宋_GB2312" w:hAnsi="仿宋_GB2312" w:eastAsia="仿宋_GB2312" w:cs="仿宋_GB2312"/>
          <w:sz w:val="32"/>
        </w:rPr>
        <w:t>实施行政处罚，适用违法行为发生时的法律、法规、规章的规定。但是，作出行政处罚决定时，法律、法规、规章已被修改或者废止，且新的规定处罚较轻或者不认为是违法的，适用新的规定。</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ascii="仿宋_GB2312" w:hAnsi="仿宋_GB2312" w:eastAsia="仿宋_GB2312" w:cs="仿宋_GB2312"/>
          <w:sz w:val="32"/>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四十七</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hint="eastAsia" w:ascii="仿宋_GB2312" w:hAnsi="仿宋" w:eastAsia="仿宋_GB2312" w:cs="仿宋_GB2312"/>
          <w:sz w:val="32"/>
          <w:szCs w:val="32"/>
        </w:rPr>
        <w:t>各级粮食行政处罚部门</w:t>
      </w:r>
      <w:r>
        <w:rPr>
          <w:rFonts w:ascii="仿宋_GB2312" w:hAnsi="仿宋_GB2312" w:eastAsia="仿宋_GB2312" w:cs="仿宋_GB2312"/>
          <w:sz w:val="32"/>
        </w:rPr>
        <w:t>在作出行政处罚决定之前，应当告知当事人拟作出的行政处罚内容及事实、理由、依据，并告知当事人依法享有的陈述、申辩、要求听证等权利。</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黑体" w:cs="仿宋_GB2312"/>
          <w:sz w:val="32"/>
          <w:lang w:val="en-US" w:eastAsia="zh-CN"/>
        </w:rPr>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四十八</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hint="eastAsia" w:ascii="仿宋_GB2312" w:hAnsi="仿宋" w:eastAsia="仿宋_GB2312" w:cs="仿宋_GB2312"/>
          <w:sz w:val="32"/>
          <w:szCs w:val="32"/>
        </w:rPr>
        <w:t>各级粮食行政处罚部门</w:t>
      </w:r>
      <w:r>
        <w:rPr>
          <w:rFonts w:ascii="仿宋_GB2312" w:hAnsi="仿宋_GB2312" w:eastAsia="仿宋_GB2312" w:cs="仿宋_GB2312"/>
          <w:sz w:val="32"/>
        </w:rPr>
        <w:t>必须充分听取当事人的陈述和申辩意见，对当事人提出的事实、理由和证据，应当进行复核；当事人提出的事实、理由或者证据成立的，应当采纳。不得因当事人陈述、申辩而给予更重的处罚。</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pPr>
      <w:r>
        <w:rPr>
          <w:rFonts w:hint="eastAsia" w:ascii="黑体" w:hAnsi="黑体" w:eastAsia="黑体" w:cs="仿宋_GB2312"/>
          <w:sz w:val="32"/>
          <w:szCs w:val="32"/>
          <w:highlight w:val="none"/>
        </w:rPr>
        <w:t>第</w:t>
      </w:r>
      <w:r>
        <w:rPr>
          <w:rFonts w:hint="eastAsia" w:ascii="黑体" w:hAnsi="黑体" w:eastAsia="黑体" w:cs="仿宋_GB2312"/>
          <w:sz w:val="32"/>
          <w:szCs w:val="32"/>
          <w:highlight w:val="none"/>
          <w:lang w:eastAsia="zh-CN"/>
        </w:rPr>
        <w:t>四十九</w:t>
      </w:r>
      <w:r>
        <w:rPr>
          <w:rFonts w:hint="eastAsia" w:ascii="黑体" w:hAnsi="黑体" w:eastAsia="黑体" w:cs="仿宋_GB2312"/>
          <w:sz w:val="32"/>
          <w:szCs w:val="32"/>
          <w:highlight w:val="none"/>
        </w:rPr>
        <w:t>条</w:t>
      </w:r>
      <w:r>
        <w:rPr>
          <w:rFonts w:hint="eastAsia" w:ascii="黑体" w:hAnsi="黑体" w:eastAsia="黑体" w:cs="仿宋_GB2312"/>
          <w:sz w:val="32"/>
          <w:szCs w:val="32"/>
          <w:highlight w:val="none"/>
          <w:lang w:val="en-US" w:eastAsia="zh-CN"/>
        </w:rPr>
        <w:t xml:space="preserve"> </w:t>
      </w:r>
      <w:r>
        <w:rPr>
          <w:rFonts w:ascii="仿宋_GB2312" w:hAnsi="仿宋_GB2312" w:eastAsia="仿宋_GB2312" w:cs="仿宋_GB2312"/>
          <w:sz w:val="32"/>
        </w:rPr>
        <w:t>发生重大传染病疫情等突发事件，为了控制、减轻和消除突发事件引起的社会危害，对违反突发事件应对措施的行为，依法快速、从重处罚。</w:t>
      </w:r>
    </w:p>
    <w:p>
      <w:pPr>
        <w:keepNext w:val="0"/>
        <w:keepLines w:val="0"/>
        <w:pageBreakBefore w:val="0"/>
        <w:kinsoku/>
        <w:wordWrap/>
        <w:overflowPunct/>
        <w:topLinePunct w:val="0"/>
        <w:autoSpaceDE/>
        <w:autoSpaceDN/>
        <w:bidi w:val="0"/>
        <w:adjustRightInd/>
        <w:snapToGrid/>
        <w:spacing w:line="560" w:lineRule="exact"/>
        <w:ind w:firstLine="636"/>
        <w:jc w:val="left"/>
        <w:textAlignment w:val="auto"/>
        <w:rPr>
          <w:rFonts w:hint="eastAsia"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第</w:t>
      </w:r>
      <w:r>
        <w:rPr>
          <w:rFonts w:hint="eastAsia" w:ascii="黑体" w:hAnsi="黑体" w:eastAsia="黑体" w:cs="仿宋_GB2312"/>
          <w:color w:val="000000" w:themeColor="text1"/>
          <w:sz w:val="32"/>
          <w:szCs w:val="32"/>
          <w:lang w:eastAsia="zh-CN"/>
          <w14:textFill>
            <w14:solidFill>
              <w14:schemeClr w14:val="tx1"/>
            </w14:solidFill>
          </w14:textFill>
        </w:rPr>
        <w:t>五十</w:t>
      </w:r>
      <w:r>
        <w:rPr>
          <w:rFonts w:hint="eastAsia" w:ascii="黑体" w:hAnsi="黑体" w:eastAsia="黑体" w:cs="仿宋_GB2312"/>
          <w:color w:val="000000" w:themeColor="text1"/>
          <w:sz w:val="32"/>
          <w:szCs w:val="32"/>
          <w14:textFill>
            <w14:solidFill>
              <w14:schemeClr w14:val="tx1"/>
            </w14:solidFill>
          </w14:textFill>
        </w:rPr>
        <w:t>条</w:t>
      </w:r>
      <w:r>
        <w:rPr>
          <w:rFonts w:hint="eastAsia" w:ascii="仿宋_GB2312" w:hAnsi="仿宋"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rPr>
        <w:t>本基准中涉及“以上”的含本数、涉及“以下”的不含本数</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highlight w:val="none"/>
          <w:lang w:val="en-US" w:eastAsia="zh-CN"/>
        </w:rPr>
        <w:t>违法涉案粮食货值</w:t>
      </w:r>
      <w:r>
        <w:rPr>
          <w:rFonts w:hint="eastAsia" w:ascii="仿宋_GB2312" w:hAnsi="仿宋_GB2312" w:eastAsia="仿宋_GB2312" w:cs="仿宋_GB2312"/>
          <w:sz w:val="32"/>
          <w:lang w:val="en-US" w:eastAsia="zh-CN"/>
        </w:rPr>
        <w:t>，按其违法行为发生地当月的市场平均价格计算。</w:t>
      </w:r>
      <w:r>
        <w:rPr>
          <w:rFonts w:hint="eastAsia" w:ascii="仿宋_GB2312" w:hAnsi="仿宋_GB2312" w:eastAsia="仿宋_GB2312" w:cs="仿宋_GB2312"/>
          <w:sz w:val="32"/>
        </w:rPr>
        <w:t>相关制度另有规定的，从其规定。</w:t>
      </w:r>
    </w:p>
    <w:p>
      <w:pPr>
        <w:keepNext w:val="0"/>
        <w:keepLines w:val="0"/>
        <w:pageBreakBefore w:val="0"/>
        <w:kinsoku/>
        <w:wordWrap/>
        <w:overflowPunct/>
        <w:topLinePunct w:val="0"/>
        <w:autoSpaceDE/>
        <w:autoSpaceDN/>
        <w:bidi w:val="0"/>
        <w:adjustRightInd/>
        <w:snapToGrid/>
        <w:spacing w:line="560" w:lineRule="exact"/>
        <w:ind w:firstLine="636"/>
        <w:jc w:val="both"/>
        <w:textAlignment w:val="auto"/>
        <w:rPr>
          <w:rFonts w:ascii="仿宋_GB2312" w:hAnsi="仿宋" w:eastAsia="仿宋_GB2312" w:cs="仿宋_GB2312"/>
          <w:color w:val="000000" w:themeColor="text1"/>
          <w:sz w:val="32"/>
          <w:szCs w:val="32"/>
          <w14:textFill>
            <w14:solidFill>
              <w14:schemeClr w14:val="tx1"/>
            </w14:solidFill>
          </w14:textFill>
        </w:rPr>
      </w:pPr>
      <w:r>
        <w:rPr>
          <w:rFonts w:hint="eastAsia" w:ascii="黑体" w:hAnsi="黑体" w:eastAsia="黑体" w:cs="仿宋_GB2312"/>
          <w:sz w:val="32"/>
          <w:szCs w:val="32"/>
        </w:rPr>
        <w:t>第</w:t>
      </w:r>
      <w:r>
        <w:rPr>
          <w:rFonts w:hint="eastAsia" w:ascii="黑体" w:hAnsi="黑体" w:eastAsia="黑体" w:cs="仿宋_GB2312"/>
          <w:sz w:val="32"/>
          <w:szCs w:val="32"/>
          <w:lang w:eastAsia="zh-CN"/>
        </w:rPr>
        <w:t>五十一</w:t>
      </w:r>
      <w:r>
        <w:rPr>
          <w:rFonts w:hint="eastAsia" w:ascii="黑体" w:hAnsi="黑体" w:eastAsia="黑体" w:cs="仿宋_GB2312"/>
          <w:sz w:val="32"/>
          <w:szCs w:val="32"/>
        </w:rPr>
        <w:t>条</w:t>
      </w:r>
      <w:r>
        <w:rPr>
          <w:rFonts w:hint="eastAsia" w:ascii="仿宋_GB2312" w:hAnsi="仿宋" w:eastAsia="仿宋_GB2312" w:cs="仿宋_GB2312"/>
          <w:sz w:val="32"/>
          <w:szCs w:val="32"/>
        </w:rPr>
        <w:t xml:space="preserve"> 本基准及对应的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北京市粮食领域行政处罚裁量</w:t>
      </w:r>
      <w:r>
        <w:rPr>
          <w:rFonts w:hint="eastAsia" w:ascii="仿宋_GB2312" w:hAnsi="仿宋" w:eastAsia="仿宋_GB2312" w:cs="仿宋_GB2312"/>
          <w:sz w:val="32"/>
          <w:szCs w:val="32"/>
          <w:lang w:eastAsia="zh-CN"/>
        </w:rPr>
        <w:t>权</w:t>
      </w:r>
      <w:r>
        <w:rPr>
          <w:rFonts w:hint="eastAsia" w:ascii="仿宋_GB2312" w:hAnsi="仿宋" w:eastAsia="仿宋_GB2312" w:cs="仿宋_GB2312"/>
          <w:sz w:val="32"/>
          <w:szCs w:val="32"/>
        </w:rPr>
        <w:t>基准</w:t>
      </w:r>
      <w:r>
        <w:rPr>
          <w:rFonts w:hint="eastAsia" w:ascii="仿宋_GB2312" w:hAnsi="仿宋" w:eastAsia="仿宋_GB2312" w:cs="仿宋_GB2312"/>
          <w:sz w:val="32"/>
          <w:szCs w:val="32"/>
          <w:lang w:val="en-US" w:eastAsia="zh-CN"/>
        </w:rPr>
        <w:t>表</w:t>
      </w:r>
      <w:r>
        <w:rPr>
          <w:rFonts w:hint="eastAsia" w:ascii="仿宋_GB2312" w:hAnsi="仿宋" w:eastAsia="仿宋_GB2312" w:cs="仿宋_GB2312"/>
          <w:sz w:val="32"/>
          <w:szCs w:val="32"/>
        </w:rPr>
        <w:t>及处罚公示期限目录</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自</w:t>
      </w:r>
      <w:r>
        <w:rPr>
          <w:rFonts w:hint="eastAsia" w:ascii="仿宋_GB2312" w:hAnsi="仿宋" w:eastAsia="仿宋_GB2312" w:cs="仿宋_GB2312"/>
          <w:sz w:val="32"/>
          <w:szCs w:val="32"/>
          <w:lang w:val="en-US" w:eastAsia="zh-CN"/>
        </w:rPr>
        <w:t>2024年3月31日</w:t>
      </w:r>
      <w:r>
        <w:rPr>
          <w:rFonts w:hint="eastAsia" w:ascii="仿宋_GB2312" w:hAnsi="仿宋" w:eastAsia="仿宋_GB2312" w:cs="仿宋_GB2312"/>
          <w:sz w:val="32"/>
          <w:szCs w:val="32"/>
        </w:rPr>
        <w:t>起施行。</w:t>
      </w:r>
      <w:r>
        <w:rPr>
          <w:rFonts w:hint="eastAsia" w:ascii="仿宋_GB2312" w:hAnsi="仿宋" w:eastAsia="仿宋_GB2312" w:cs="仿宋_GB2312"/>
          <w:color w:val="000000" w:themeColor="text1"/>
          <w:sz w:val="32"/>
          <w:szCs w:val="32"/>
          <w14:textFill>
            <w14:solidFill>
              <w14:schemeClr w14:val="tx1"/>
            </w14:solidFill>
          </w14:textFill>
        </w:rPr>
        <w:t>原《北京市粮食和物资储备局关于印发&lt;北京市粮食</w:t>
      </w:r>
      <w:r>
        <w:rPr>
          <w:rFonts w:hint="eastAsia" w:ascii="仿宋_GB2312" w:hAnsi="仿宋" w:eastAsia="仿宋_GB2312" w:cs="仿宋_GB2312"/>
          <w:color w:val="000000" w:themeColor="text1"/>
          <w:sz w:val="32"/>
          <w:szCs w:val="32"/>
          <w:lang w:eastAsia="zh-CN"/>
          <w14:textFill>
            <w14:solidFill>
              <w14:schemeClr w14:val="tx1"/>
            </w14:solidFill>
          </w14:textFill>
        </w:rPr>
        <w:t>领域</w:t>
      </w:r>
      <w:r>
        <w:rPr>
          <w:rFonts w:hint="eastAsia" w:ascii="仿宋_GB2312" w:hAnsi="仿宋" w:eastAsia="仿宋_GB2312" w:cs="仿宋_GB2312"/>
          <w:color w:val="000000" w:themeColor="text1"/>
          <w:sz w:val="32"/>
          <w:szCs w:val="32"/>
          <w14:textFill>
            <w14:solidFill>
              <w14:schemeClr w14:val="tx1"/>
            </w14:solidFill>
          </w14:textFill>
        </w:rPr>
        <w:t>行政处罚裁量基准&gt;&lt;北京市粮食</w:t>
      </w:r>
      <w:r>
        <w:rPr>
          <w:rFonts w:hint="eastAsia" w:ascii="仿宋_GB2312" w:hAnsi="仿宋" w:eastAsia="仿宋_GB2312" w:cs="仿宋_GB2312"/>
          <w:color w:val="000000" w:themeColor="text1"/>
          <w:sz w:val="32"/>
          <w:szCs w:val="32"/>
          <w:lang w:eastAsia="zh-CN"/>
          <w14:textFill>
            <w14:solidFill>
              <w14:schemeClr w14:val="tx1"/>
            </w14:solidFill>
          </w14:textFill>
        </w:rPr>
        <w:t>领域</w:t>
      </w:r>
      <w:r>
        <w:rPr>
          <w:rFonts w:hint="eastAsia" w:ascii="仿宋_GB2312" w:hAnsi="仿宋" w:eastAsia="仿宋_GB2312" w:cs="仿宋_GB2312"/>
          <w:color w:val="000000" w:themeColor="text1"/>
          <w:sz w:val="32"/>
          <w:szCs w:val="32"/>
          <w14:textFill>
            <w14:solidFill>
              <w14:schemeClr w14:val="tx1"/>
            </w14:solidFill>
          </w14:textFill>
        </w:rPr>
        <w:t>行政处罚裁量基准表</w:t>
      </w:r>
      <w:r>
        <w:rPr>
          <w:rFonts w:hint="eastAsia" w:ascii="仿宋_GB2312" w:hAnsi="仿宋" w:eastAsia="仿宋_GB2312" w:cs="仿宋_GB2312"/>
          <w:color w:val="000000" w:themeColor="text1"/>
          <w:sz w:val="32"/>
          <w:szCs w:val="32"/>
          <w:lang w:eastAsia="zh-CN"/>
          <w14:textFill>
            <w14:solidFill>
              <w14:schemeClr w14:val="tx1"/>
            </w14:solidFill>
          </w14:textFill>
        </w:rPr>
        <w:t>及处罚公示期限目录</w:t>
      </w:r>
      <w:r>
        <w:rPr>
          <w:rFonts w:hint="eastAsia" w:ascii="仿宋_GB2312" w:hAnsi="仿宋" w:eastAsia="仿宋_GB2312" w:cs="仿宋_GB2312"/>
          <w:color w:val="000000" w:themeColor="text1"/>
          <w:sz w:val="32"/>
          <w:szCs w:val="32"/>
          <w14:textFill>
            <w14:solidFill>
              <w14:schemeClr w14:val="tx1"/>
            </w14:solidFill>
          </w14:textFill>
        </w:rPr>
        <w:t>&gt;的通知》（京粮发〔20</w:t>
      </w:r>
      <w:r>
        <w:rPr>
          <w:rFonts w:hint="eastAsia" w:ascii="仿宋_GB2312" w:hAnsi="仿宋" w:eastAsia="仿宋_GB2312" w:cs="仿宋_GB2312"/>
          <w:color w:val="000000" w:themeColor="text1"/>
          <w:sz w:val="32"/>
          <w:szCs w:val="32"/>
          <w:lang w:val="en-US" w:eastAsia="zh-CN"/>
          <w14:textFill>
            <w14:solidFill>
              <w14:schemeClr w14:val="tx1"/>
            </w14:solidFill>
          </w14:textFill>
        </w:rPr>
        <w:t>21</w:t>
      </w:r>
      <w:r>
        <w:rPr>
          <w:rFonts w:hint="eastAsia" w:ascii="仿宋_GB2312" w:hAnsi="仿宋" w:eastAsia="仿宋_GB2312" w:cs="仿宋_GB2312"/>
          <w:color w:val="000000" w:themeColor="text1"/>
          <w:sz w:val="32"/>
          <w:szCs w:val="32"/>
          <w14:textFill>
            <w14:solidFill>
              <w14:schemeClr w14:val="tx1"/>
            </w14:solidFill>
          </w14:textFill>
        </w:rPr>
        <w:t>〕</w:t>
      </w:r>
      <w:r>
        <w:rPr>
          <w:rFonts w:hint="eastAsia" w:ascii="仿宋_GB2312" w:hAnsi="仿宋" w:eastAsia="仿宋_GB2312" w:cs="仿宋_GB2312"/>
          <w:color w:val="000000" w:themeColor="text1"/>
          <w:sz w:val="32"/>
          <w:szCs w:val="32"/>
          <w:lang w:val="en-US" w:eastAsia="zh-CN"/>
          <w14:textFill>
            <w14:solidFill>
              <w14:schemeClr w14:val="tx1"/>
            </w14:solidFill>
          </w14:textFill>
        </w:rPr>
        <w:t>21</w:t>
      </w:r>
      <w:r>
        <w:rPr>
          <w:rFonts w:hint="eastAsia" w:ascii="仿宋_GB2312" w:hAnsi="仿宋" w:eastAsia="仿宋_GB2312" w:cs="仿宋_GB2312"/>
          <w:color w:val="000000" w:themeColor="text1"/>
          <w:sz w:val="32"/>
          <w:szCs w:val="32"/>
          <w14:textFill>
            <w14:solidFill>
              <w14:schemeClr w14:val="tx1"/>
            </w14:solidFill>
          </w14:textFill>
        </w:rPr>
        <w:t>号）同时废止。</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eastAsia="仿宋_GB2312"/>
          <w:sz w:val="32"/>
          <w:szCs w:val="32"/>
        </w:rPr>
        <w:sectPr>
          <w:footerReference r:id="rId3" w:type="default"/>
          <w:footerReference r:id="rId4" w:type="even"/>
          <w:pgSz w:w="11906" w:h="16838"/>
          <w:pgMar w:top="1440" w:right="1803" w:bottom="1440" w:left="1803" w:header="851" w:footer="992" w:gutter="0"/>
          <w:pgNumType w:fmt="numberInDash"/>
          <w:cols w:space="0" w:num="1"/>
          <w:rtlGutter w:val="0"/>
          <w:docGrid w:type="lines" w:linePitch="312" w:charSpace="0"/>
        </w:sectPr>
      </w:pPr>
      <w:r>
        <w:rPr>
          <w:rFonts w:ascii="仿宋_GB2312" w:eastAsia="仿宋_GB2312"/>
          <w:sz w:val="32"/>
          <w:szCs w:val="32"/>
        </w:rPr>
        <w:br w:type="page"/>
      </w:r>
    </w:p>
    <w:p>
      <w:pPr>
        <w:spacing w:line="240" w:lineRule="auto"/>
        <w:jc w:val="center"/>
        <w:rPr>
          <w:rFonts w:hint="eastAsia" w:ascii="方正小标宋简体" w:hAnsi="方正小标宋简体" w:eastAsia="方正小标宋简体" w:cs="方正小标宋简体"/>
          <w:i w:val="0"/>
          <w:color w:val="000000"/>
          <w:spacing w:val="-2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北京市粮食领域行政处罚裁量权基准表及处罚公示期限目录</w:t>
      </w:r>
    </w:p>
    <w:p>
      <w:pPr>
        <w:spacing w:line="580" w:lineRule="exact"/>
        <w:jc w:val="center"/>
        <w:rPr>
          <w:rFonts w:hint="eastAsia" w:ascii="宋体" w:hAnsi="宋体" w:cs="宋体"/>
          <w:sz w:val="32"/>
          <w:szCs w:val="32"/>
        </w:rPr>
      </w:pPr>
      <w:r>
        <w:rPr>
          <w:rFonts w:hint="eastAsia" w:ascii="宋体" w:hAnsi="宋体" w:cs="宋体"/>
          <w:sz w:val="32"/>
          <w:szCs w:val="32"/>
        </w:rPr>
        <w:t>《退耕还林条例》</w:t>
      </w:r>
    </w:p>
    <w:tbl>
      <w:tblPr>
        <w:tblStyle w:val="8"/>
        <w:tblW w:w="5287" w:type="pct"/>
        <w:tblInd w:w="-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8"/>
        <w:gridCol w:w="1370"/>
        <w:gridCol w:w="1912"/>
        <w:gridCol w:w="1338"/>
        <w:gridCol w:w="1350"/>
        <w:gridCol w:w="1989"/>
        <w:gridCol w:w="3460"/>
        <w:gridCol w:w="958"/>
        <w:gridCol w:w="101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blHeader/>
        </w:trPr>
        <w:tc>
          <w:tcPr>
            <w:tcW w:w="136"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57"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37"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违法行为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名称</w:t>
            </w:r>
          </w:p>
        </w:tc>
        <w:tc>
          <w:tcPr>
            <w:tcW w:w="896" w:type="pct"/>
            <w:gridSpan w:val="2"/>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663" w:type="pct"/>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1154" w:type="pct"/>
            <w:vMerge w:val="restar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19"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36"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398" w:type="pct"/>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请缩短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blHeader/>
        </w:trPr>
        <w:tc>
          <w:tcPr>
            <w:tcW w:w="13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5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637"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违法行为依据</w:t>
            </w:r>
          </w:p>
        </w:tc>
        <w:tc>
          <w:tcPr>
            <w:tcW w:w="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CESI仿宋-GB2312" w:hAnsi="CESI仿宋-GB2312" w:eastAsia="CESI仿宋-GB2312" w:cs="CESI仿宋-GB2312"/>
                <w:b/>
                <w:i w:val="0"/>
                <w:color w:val="000000"/>
                <w:sz w:val="24"/>
                <w:szCs w:val="24"/>
                <w:u w:val="none"/>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66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1154"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319"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3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98"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C2600100</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A000</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供应补助粮食的企业向退耕还林者供应不符合国家质量标准的补助粮食的行为。</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《退耕还林条例》第三十九条第二款</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《退耕还林条例》第六十一条第一款</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供应补助粮食的企业向退耕还林者供应不符合国家质量标准的补助粮食的。</w:t>
            </w:r>
          </w:p>
        </w:tc>
        <w:tc>
          <w:tcPr>
            <w:tcW w:w="11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责令限期改正，可以处非法供应的补助粮食数量乘以标准口粮单价1倍以下的罚款。</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12个月</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82" w:hRule="atLeast"/>
        </w:trPr>
        <w:tc>
          <w:tcPr>
            <w:tcW w:w="1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C2600200</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B000</w:t>
            </w:r>
          </w:p>
        </w:tc>
        <w:tc>
          <w:tcPr>
            <w:tcW w:w="6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供应补助粮食的企业将补助粮食折算成现金或者代金券支付的行为。</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《退耕还林条例》第四十一条</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《退耕还林条例》第六十一条第二款</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供应补助粮食的企业将补助粮食折算成现金或者代金券支付的。</w:t>
            </w:r>
          </w:p>
        </w:tc>
        <w:tc>
          <w:tcPr>
            <w:tcW w:w="11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责令限期改正，</w:t>
            </w:r>
            <w:r>
              <w:rPr>
                <w:rFonts w:hint="eastAsia" w:ascii="宋体" w:hAnsi="宋体" w:eastAsia="宋体" w:cs="宋体"/>
                <w:i w:val="0"/>
                <w:color w:val="000000"/>
                <w:sz w:val="21"/>
                <w:szCs w:val="21"/>
                <w:u w:val="none"/>
                <w:lang w:eastAsia="zh-CN"/>
              </w:rPr>
              <w:t>可以</w:t>
            </w:r>
            <w:r>
              <w:rPr>
                <w:rFonts w:hint="eastAsia" w:ascii="宋体" w:hAnsi="宋体" w:eastAsia="宋体" w:cs="宋体"/>
                <w:i w:val="0"/>
                <w:color w:val="000000"/>
                <w:sz w:val="21"/>
                <w:szCs w:val="21"/>
                <w:u w:val="none"/>
              </w:rPr>
              <w:t>处折算现金额、代金券</w:t>
            </w:r>
            <w:r>
              <w:rPr>
                <w:rFonts w:hint="eastAsia" w:ascii="宋体" w:hAnsi="宋体" w:eastAsia="宋体" w:cs="宋体"/>
                <w:i w:val="0"/>
                <w:color w:val="000000"/>
                <w:sz w:val="21"/>
                <w:szCs w:val="21"/>
                <w:u w:val="none"/>
                <w:lang w:eastAsia="zh-CN"/>
              </w:rPr>
              <w:t>额</w:t>
            </w:r>
            <w:r>
              <w:rPr>
                <w:rFonts w:hint="eastAsia" w:ascii="宋体" w:hAnsi="宋体" w:eastAsia="宋体" w:cs="宋体"/>
                <w:i w:val="0"/>
                <w:color w:val="000000"/>
                <w:sz w:val="21"/>
                <w:szCs w:val="21"/>
                <w:u w:val="none"/>
              </w:rPr>
              <w:t>1倍以下的罚款</w:t>
            </w:r>
            <w:r>
              <w:rPr>
                <w:rFonts w:hint="eastAsia" w:ascii="宋体" w:hAnsi="宋体" w:eastAsia="宋体" w:cs="宋体"/>
                <w:i w:val="0"/>
                <w:color w:val="000000"/>
                <w:sz w:val="21"/>
                <w:szCs w:val="21"/>
                <w:u w:val="none"/>
                <w:lang w:eastAsia="zh-CN"/>
              </w:rPr>
              <w:t>。</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6个月</w:t>
            </w:r>
          </w:p>
        </w:tc>
        <w:tc>
          <w:tcPr>
            <w:tcW w:w="3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trPr>
        <w:tc>
          <w:tcPr>
            <w:tcW w:w="136"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45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3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供应补助粮食的企业回购补助粮食的行为。</w:t>
            </w:r>
          </w:p>
        </w:tc>
        <w:tc>
          <w:tcPr>
            <w:tcW w:w="44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《退耕还林条例》第四十一条</w:t>
            </w:r>
          </w:p>
        </w:tc>
        <w:tc>
          <w:tcPr>
            <w:tcW w:w="45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《退耕还林条例》第六十一条第二款</w:t>
            </w:r>
          </w:p>
        </w:tc>
        <w:tc>
          <w:tcPr>
            <w:tcW w:w="66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供应补助粮食的企业回购补助粮食的。</w:t>
            </w:r>
          </w:p>
        </w:tc>
        <w:tc>
          <w:tcPr>
            <w:tcW w:w="115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责令限期改正，可以处回购粮食价款1倍以下的罚款。</w:t>
            </w:r>
          </w:p>
        </w:tc>
        <w:tc>
          <w:tcPr>
            <w:tcW w:w="31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bl>
    <w:p>
      <w:pPr>
        <w:jc w:val="center"/>
        <w:rPr>
          <w:rFonts w:hint="eastAsia" w:ascii="宋体" w:cs="Times New Roman" w:eastAsiaTheme="minorEastAsia"/>
          <w:sz w:val="32"/>
          <w:szCs w:val="32"/>
          <w:lang w:eastAsia="zh-CN"/>
        </w:rPr>
      </w:pPr>
      <w:r>
        <w:rPr>
          <w:rFonts w:hint="eastAsia" w:ascii="宋体" w:hAnsi="宋体" w:cs="宋体"/>
          <w:sz w:val="32"/>
          <w:szCs w:val="32"/>
        </w:rPr>
        <w:t>《粮食流通管理条例》</w:t>
      </w:r>
      <w:r>
        <w:rPr>
          <w:rFonts w:hint="eastAsia" w:ascii="宋体" w:hAnsi="宋体" w:cs="宋体"/>
          <w:sz w:val="32"/>
          <w:szCs w:val="32"/>
          <w:lang w:eastAsia="zh-CN"/>
        </w:rPr>
        <w:t>《粮食质量安全监管办法》</w:t>
      </w:r>
    </w:p>
    <w:tbl>
      <w:tblPr>
        <w:tblStyle w:val="8"/>
        <w:tblW w:w="5345" w:type="pct"/>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
        <w:gridCol w:w="1341"/>
        <w:gridCol w:w="1257"/>
        <w:gridCol w:w="1140"/>
        <w:gridCol w:w="1185"/>
        <w:gridCol w:w="3650"/>
        <w:gridCol w:w="3087"/>
        <w:gridCol w:w="867"/>
        <w:gridCol w:w="96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51" w:type="pct"/>
            <w:vMerge w:val="restart"/>
            <w:tcBorders>
              <w:top w:val="single" w:color="auto" w:sz="4" w:space="0"/>
              <w:left w:val="single" w:color="000000"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42"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414"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名称</w:t>
            </w:r>
          </w:p>
        </w:tc>
        <w:tc>
          <w:tcPr>
            <w:tcW w:w="767" w:type="pct"/>
            <w:gridSpan w:val="2"/>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1204"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1018" w:type="pct"/>
            <w:vMerge w:val="restart"/>
            <w:tcBorders>
              <w:top w:val="single" w:color="auto" w:sz="4" w:space="0"/>
              <w:left w:val="single" w:color="000000" w:sz="4" w:space="0"/>
              <w:bottom w:val="nil"/>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286"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行为分类</w:t>
            </w:r>
          </w:p>
        </w:tc>
        <w:tc>
          <w:tcPr>
            <w:tcW w:w="319"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395" w:type="pct"/>
            <w:vMerge w:val="restart"/>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请缩短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blHeader/>
        </w:trPr>
        <w:tc>
          <w:tcPr>
            <w:tcW w:w="151" w:type="pct"/>
            <w:vMerge w:val="continue"/>
            <w:tcBorders>
              <w:top w:val="nil"/>
              <w:left w:val="single" w:color="000000" w:sz="4" w:space="0"/>
              <w:bottom w:val="single" w:color="auto" w:sz="4" w:space="0"/>
              <w:right w:val="nil"/>
            </w:tcBorders>
            <w:noWrap w:val="0"/>
            <w:vAlign w:val="center"/>
          </w:tcPr>
          <w:p>
            <w:pPr>
              <w:jc w:val="center"/>
              <w:rPr>
                <w:rFonts w:hint="eastAsia" w:ascii="宋体" w:hAnsi="宋体" w:eastAsia="宋体" w:cs="宋体"/>
                <w:b/>
                <w:i w:val="0"/>
                <w:color w:val="000000"/>
                <w:sz w:val="21"/>
                <w:szCs w:val="21"/>
                <w:u w:val="none"/>
              </w:rPr>
            </w:pPr>
          </w:p>
        </w:tc>
        <w:tc>
          <w:tcPr>
            <w:tcW w:w="442"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414" w:type="pct"/>
            <w:vMerge w:val="continue"/>
            <w:tcBorders>
              <w:top w:val="nil"/>
              <w:left w:val="single" w:color="000000" w:sz="4" w:space="0"/>
              <w:bottom w:val="single" w:color="auto" w:sz="4" w:space="0"/>
              <w:right w:val="single" w:color="auto"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违法行为依据</w:t>
            </w:r>
          </w:p>
        </w:tc>
        <w:tc>
          <w:tcPr>
            <w:tcW w:w="39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依据</w:t>
            </w:r>
          </w:p>
        </w:tc>
        <w:tc>
          <w:tcPr>
            <w:tcW w:w="1204" w:type="pct"/>
            <w:vMerge w:val="continue"/>
            <w:tcBorders>
              <w:top w:val="nil"/>
              <w:left w:val="single" w:color="auto" w:sz="4" w:space="0"/>
              <w:bottom w:val="single" w:color="auto"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1018" w:type="pct"/>
            <w:vMerge w:val="continue"/>
            <w:tcBorders>
              <w:top w:val="nil"/>
              <w:left w:val="single" w:color="000000" w:sz="4" w:space="0"/>
              <w:bottom w:val="single" w:color="auto"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21"/>
                <w:szCs w:val="21"/>
                <w:u w:val="none"/>
              </w:rPr>
            </w:pPr>
          </w:p>
        </w:tc>
        <w:tc>
          <w:tcPr>
            <w:tcW w:w="286"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19"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c>
          <w:tcPr>
            <w:tcW w:w="395" w:type="pct"/>
            <w:vMerge w:val="continue"/>
            <w:tcBorders>
              <w:top w:val="nil"/>
              <w:left w:val="single" w:color="000000" w:sz="4" w:space="0"/>
              <w:bottom w:val="single" w:color="auto"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5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4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41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粮食收购企业未按照规定备案或者提供虚假备</w:t>
            </w:r>
            <w:r>
              <w:rPr>
                <w:rFonts w:hint="eastAsia" w:ascii="宋体" w:hAnsi="宋体" w:eastAsia="宋体" w:cs="宋体"/>
                <w:i w:val="0"/>
                <w:color w:val="000000"/>
                <w:spacing w:val="-20"/>
                <w:kern w:val="0"/>
                <w:sz w:val="21"/>
                <w:szCs w:val="21"/>
                <w:u w:val="none"/>
                <w:lang w:val="en-US" w:eastAsia="zh-CN" w:bidi="ar"/>
              </w:rPr>
              <w:t>案</w:t>
            </w:r>
            <w:r>
              <w:rPr>
                <w:rFonts w:hint="eastAsia" w:ascii="宋体" w:hAnsi="宋体" w:eastAsia="宋体" w:cs="宋体"/>
                <w:i w:val="0"/>
                <w:color w:val="000000"/>
                <w:spacing w:val="0"/>
                <w:kern w:val="0"/>
                <w:sz w:val="21"/>
                <w:szCs w:val="21"/>
                <w:u w:val="none"/>
                <w:lang w:val="en-US" w:eastAsia="zh-CN" w:bidi="ar"/>
              </w:rPr>
              <w:t>信息的行为。</w:t>
            </w:r>
          </w:p>
        </w:tc>
        <w:tc>
          <w:tcPr>
            <w:tcW w:w="3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《粮食流通管理条例》第九条第二款</w:t>
            </w:r>
          </w:p>
        </w:tc>
        <w:tc>
          <w:tcPr>
            <w:tcW w:w="39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《粮食流通管理条例》第四十三条</w:t>
            </w:r>
          </w:p>
        </w:tc>
        <w:tc>
          <w:tcPr>
            <w:tcW w:w="12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粮食收购企业未按照规定备案或者提供虚假备案信息的。</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7" w:hRule="atLeast"/>
        </w:trPr>
        <w:tc>
          <w:tcPr>
            <w:tcW w:w="151"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41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处2万元以上5万元以下罚款。</w:t>
            </w:r>
          </w:p>
        </w:tc>
        <w:tc>
          <w:tcPr>
            <w:tcW w:w="28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51" w:type="pct"/>
            <w:vMerge w:val="restart"/>
            <w:tcBorders>
              <w:top w:val="single" w:color="auto"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44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粮食收购者未执行国家粮食质量标准的行为。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《粮食流通管理条例》第十一条第一款、《粮食质量安全监管办法》第十三条</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《粮食流通管理条例》第四十五条第（一）项、第五十一条、《粮食质量安全监管办法》第四十六条</w:t>
            </w:r>
          </w:p>
        </w:tc>
        <w:tc>
          <w:tcPr>
            <w:tcW w:w="12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粮食收购者未执行国家粮食质量标准，情节</w:t>
            </w:r>
            <w:r>
              <w:rPr>
                <w:rFonts w:hint="eastAsia" w:ascii="宋体" w:hAnsi="宋体" w:cs="宋体"/>
                <w:i w:val="0"/>
                <w:color w:val="000000"/>
                <w:kern w:val="0"/>
                <w:sz w:val="21"/>
                <w:szCs w:val="21"/>
                <w:u w:val="none"/>
                <w:lang w:val="en-US" w:eastAsia="zh-CN" w:bidi="ar"/>
              </w:rPr>
              <w:t>较轻</w:t>
            </w:r>
            <w:r>
              <w:rPr>
                <w:rFonts w:hint="eastAsia" w:ascii="宋体" w:hAnsi="宋体" w:eastAsia="宋体" w:cs="宋体"/>
                <w:i w:val="0"/>
                <w:color w:val="000000"/>
                <w:kern w:val="0"/>
                <w:sz w:val="21"/>
                <w:szCs w:val="21"/>
                <w:u w:val="none"/>
                <w:lang w:val="en-US" w:eastAsia="zh-CN" w:bidi="ar"/>
              </w:rPr>
              <w:t>的。</w:t>
            </w:r>
          </w:p>
        </w:tc>
        <w:tc>
          <w:tcPr>
            <w:tcW w:w="10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4"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造成售粮农民或其他粮食生产者的利</w:t>
            </w:r>
            <w:r>
              <w:rPr>
                <w:rFonts w:hint="eastAsia" w:ascii="宋体" w:hAnsi="宋体" w:eastAsia="宋体" w:cs="宋体"/>
                <w:i w:val="0"/>
                <w:color w:val="000000"/>
                <w:w w:val="100"/>
                <w:kern w:val="0"/>
                <w:sz w:val="21"/>
                <w:szCs w:val="21"/>
                <w:u w:val="none"/>
                <w:lang w:val="en-US" w:eastAsia="zh-CN" w:bidi="ar"/>
              </w:rPr>
              <w:t>益受到损害20万元以下的。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造成售粮农民或其他粮食生产者的利益受到损害20万元以上35万元以下的。</w:t>
            </w:r>
          </w:p>
          <w:p>
            <w:pPr>
              <w:keepNext w:val="0"/>
              <w:keepLines w:val="0"/>
              <w:widowControl/>
              <w:numPr>
                <w:ilvl w:val="0"/>
                <w:numId w:val="1"/>
              </w:numPr>
              <w:suppressLineNumbers w:val="0"/>
              <w:ind w:left="0" w:leftChars="0" w:firstLine="0" w:firstLineChars="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w:t>
            </w:r>
            <w:r>
              <w:rPr>
                <w:rFonts w:hint="eastAsia" w:ascii="宋体" w:hAnsi="宋体" w:eastAsia="宋体" w:cs="宋体"/>
                <w:i w:val="0"/>
                <w:color w:val="000000"/>
                <w:spacing w:val="0"/>
                <w:w w:val="100"/>
                <w:kern w:val="0"/>
                <w:sz w:val="21"/>
                <w:szCs w:val="21"/>
                <w:u w:val="none"/>
                <w:lang w:val="en-US" w:eastAsia="zh-CN" w:bidi="ar"/>
              </w:rPr>
              <w:t>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9" w:hRule="atLeast"/>
        </w:trPr>
        <w:tc>
          <w:tcPr>
            <w:tcW w:w="151"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造成售粮农民或其他粮食生产者的利益受到损害35万元以上的。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w:t>
            </w:r>
            <w:r>
              <w:rPr>
                <w:rFonts w:hint="eastAsia" w:ascii="宋体" w:hAnsi="宋体" w:eastAsia="宋体" w:cs="宋体"/>
                <w:i w:val="0"/>
                <w:color w:val="000000"/>
                <w:w w:val="100"/>
                <w:kern w:val="0"/>
                <w:sz w:val="21"/>
                <w:szCs w:val="21"/>
                <w:u w:val="none"/>
                <w:lang w:val="en-US" w:eastAsia="zh-CN" w:bidi="ar"/>
              </w:rPr>
              <w:t>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151" w:type="pct"/>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粮食收购者未及时向售粮者支付售粮款的行为。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《粮食流通管理条例》第四十五条第（二）项、第五十一条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欠付一个月以下的。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51" w:type="pct"/>
            <w:vMerge w:val="continue"/>
            <w:tcBorders>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一个月以上二个月</w:t>
            </w:r>
            <w:r>
              <w:rPr>
                <w:rFonts w:hint="eastAsia" w:ascii="宋体" w:hAnsi="宋体" w:eastAsia="宋体" w:cs="宋体"/>
                <w:i w:val="0"/>
                <w:color w:val="000000"/>
                <w:kern w:val="0"/>
                <w:sz w:val="21"/>
                <w:szCs w:val="21"/>
                <w:u w:val="none"/>
                <w:lang w:val="en-US" w:eastAsia="zh-CN" w:bidi="ar"/>
              </w:rPr>
              <w:t>以下</w:t>
            </w:r>
            <w:r>
              <w:rPr>
                <w:rFonts w:hint="eastAsia" w:ascii="宋体" w:hAnsi="宋体" w:cs="宋体"/>
                <w:i w:val="0"/>
                <w:color w:val="000000"/>
                <w:kern w:val="0"/>
                <w:sz w:val="21"/>
                <w:szCs w:val="21"/>
                <w:u w:val="none"/>
                <w:lang w:val="en-US" w:eastAsia="zh-CN" w:bidi="ar"/>
              </w:rPr>
              <w:t>的。</w:t>
            </w:r>
          </w:p>
          <w:p>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欠付20万元以下的。</w:t>
            </w:r>
          </w:p>
        </w:tc>
        <w:tc>
          <w:tcPr>
            <w:tcW w:w="101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51" w:type="pct"/>
            <w:vMerge w:val="continue"/>
            <w:tcBorders>
              <w:top w:val="single" w:color="auto" w:sz="4" w:space="0"/>
              <w:left w:val="single" w:color="auto" w:sz="4" w:space="0"/>
              <w:bottom w:val="single" w:color="auto"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二个月</w:t>
            </w:r>
            <w:r>
              <w:rPr>
                <w:rFonts w:hint="eastAsia" w:ascii="宋体" w:hAnsi="宋体" w:eastAsia="宋体" w:cs="宋体"/>
                <w:i w:val="0"/>
                <w:color w:val="000000"/>
                <w:kern w:val="0"/>
                <w:sz w:val="21"/>
                <w:szCs w:val="21"/>
                <w:u w:val="none"/>
                <w:lang w:val="en-US" w:eastAsia="zh-CN" w:bidi="ar"/>
              </w:rPr>
              <w:t>以上</w:t>
            </w:r>
            <w:r>
              <w:rPr>
                <w:rFonts w:hint="eastAsia" w:ascii="宋体" w:hAnsi="宋体" w:cs="宋体"/>
                <w:i w:val="0"/>
                <w:color w:val="000000"/>
                <w:kern w:val="0"/>
                <w:sz w:val="21"/>
                <w:szCs w:val="21"/>
                <w:u w:val="none"/>
                <w:lang w:val="en-US" w:eastAsia="zh-CN" w:bidi="ar"/>
              </w:rPr>
              <w:t>三个月</w:t>
            </w:r>
            <w:r>
              <w:rPr>
                <w:rFonts w:hint="eastAsia" w:ascii="宋体" w:hAnsi="宋体" w:eastAsia="宋体" w:cs="宋体"/>
                <w:i w:val="0"/>
                <w:color w:val="000000"/>
                <w:kern w:val="0"/>
                <w:sz w:val="21"/>
                <w:szCs w:val="21"/>
                <w:u w:val="none"/>
                <w:lang w:val="en-US" w:eastAsia="zh-CN" w:bidi="ar"/>
              </w:rPr>
              <w:t>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欠付20万元以上35万元以下的。</w:t>
            </w:r>
          </w:p>
          <w:p>
            <w:pPr>
              <w:keepNext w:val="0"/>
              <w:keepLines w:val="0"/>
              <w:widowControl/>
              <w:numPr>
                <w:ilvl w:val="0"/>
                <w:numId w:val="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151" w:type="pct"/>
            <w:vMerge w:val="continue"/>
            <w:tcBorders>
              <w:top w:val="single" w:color="auto" w:sz="4" w:space="0"/>
              <w:left w:val="single" w:color="auto"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w:t>
            </w:r>
            <w:r>
              <w:rPr>
                <w:rFonts w:hint="eastAsia" w:ascii="宋体" w:hAnsi="宋体" w:cs="宋体"/>
                <w:i w:val="0"/>
                <w:color w:val="000000"/>
                <w:kern w:val="0"/>
                <w:sz w:val="21"/>
                <w:szCs w:val="21"/>
                <w:u w:val="none"/>
                <w:lang w:val="en-US" w:eastAsia="zh-CN" w:bidi="ar"/>
              </w:rPr>
              <w:t>三个月</w:t>
            </w:r>
            <w:r>
              <w:rPr>
                <w:rFonts w:hint="eastAsia" w:ascii="宋体" w:hAnsi="宋体" w:eastAsia="宋体" w:cs="宋体"/>
                <w:i w:val="0"/>
                <w:color w:val="000000"/>
                <w:kern w:val="0"/>
                <w:sz w:val="21"/>
                <w:szCs w:val="21"/>
                <w:u w:val="none"/>
                <w:lang w:val="en-US" w:eastAsia="zh-CN" w:bidi="ar"/>
              </w:rPr>
              <w:t>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欠付35万元以上的。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iCs/>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粮食收购者违反《粮食流通管理条例》规定代扣、代缴税、费和其他款项的行为</w:t>
            </w:r>
            <w:r>
              <w:rPr>
                <w:rFonts w:hint="eastAsia" w:ascii="宋体" w:hAnsi="宋体" w:cs="宋体"/>
                <w:i w:val="0"/>
                <w:color w:val="000000"/>
                <w:kern w:val="0"/>
                <w:sz w:val="21"/>
                <w:szCs w:val="21"/>
                <w:u w:val="none"/>
                <w:lang w:val="en-US" w:eastAsia="zh-CN" w:bidi="ar"/>
              </w:rPr>
              <w:t>。</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《粮食流通管理条例》第十一条第一款</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《粮食流通管理条例》第四十五条第（三）项、第五十一条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代扣、代缴税、费和其他款项20万元以上35万元以下的。</w:t>
            </w:r>
          </w:p>
          <w:p>
            <w:pPr>
              <w:keepNext w:val="0"/>
              <w:keepLines w:val="0"/>
              <w:widowControl/>
              <w:numPr>
                <w:ilvl w:val="0"/>
                <w:numId w:val="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C2600700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代扣、代缴税、费和其他款项35万元以上的。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51"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从事粮食收购、销售、储存、加工的粮食经营者以及饲料、工业用粮企业未建立粮食经营台账的行为。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《粮食流通管理条例》第二十三条第一款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不纳入</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不公示</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警告后仍不改正的。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w:t>
            </w: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未建立粮食经营台账造成特别恶劣社会影响或导致特别严重危害后果的。</w:t>
            </w:r>
          </w:p>
          <w:p>
            <w:pPr>
              <w:keepNext w:val="0"/>
              <w:keepLines w:val="0"/>
              <w:widowControl/>
              <w:numPr>
                <w:ilvl w:val="0"/>
                <w:numId w:val="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151"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414"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从事粮食收购、销售、储存、加工的粮食经营者以及饲料、工业用粮企业未按照规定报送粮食基本数据和有关情况的行为。</w:t>
            </w:r>
          </w:p>
        </w:tc>
        <w:tc>
          <w:tcPr>
            <w:tcW w:w="376"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《粮食流通管理条例》第二十三条第一款</w:t>
            </w:r>
          </w:p>
        </w:tc>
        <w:tc>
          <w:tcPr>
            <w:tcW w:w="390" w:type="pct"/>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shd w:val="clear" w:color="auto" w:fill="auto"/>
                <w:lang w:val="en-US" w:eastAsia="zh-CN" w:bidi="ar"/>
              </w:rPr>
            </w:pPr>
            <w:r>
              <w:rPr>
                <w:rFonts w:hint="eastAsia" w:ascii="宋体" w:hAnsi="宋体" w:eastAsia="宋体" w:cs="宋体"/>
                <w:i w:val="0"/>
                <w:color w:val="000000"/>
                <w:kern w:val="0"/>
                <w:sz w:val="21"/>
                <w:szCs w:val="21"/>
                <w:u w:val="none"/>
                <w:lang w:val="en-US" w:eastAsia="zh-CN" w:bidi="ar"/>
              </w:rPr>
              <w:t>未按照规定报送粮食基本数据和有关情况，经责令改正，未予改正的</w:t>
            </w:r>
            <w:r>
              <w:rPr>
                <w:rFonts w:hint="eastAsia" w:ascii="宋体" w:hAnsi="宋体" w:eastAsia="宋体" w:cs="宋体"/>
                <w:i w:val="0"/>
                <w:color w:val="000000"/>
                <w:kern w:val="0"/>
                <w:sz w:val="21"/>
                <w:szCs w:val="21"/>
                <w:u w:val="none"/>
                <w:shd w:val="clear" w:color="auto" w:fill="auto"/>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不纳入</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不公示</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151" w:type="pct"/>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414"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ind w:left="0" w:lef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w:t>
            </w: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w:t>
            </w:r>
            <w:r>
              <w:rPr>
                <w:rFonts w:hint="eastAsia" w:ascii="宋体" w:hAnsi="宋体" w:eastAsia="宋体" w:cs="宋体"/>
                <w:i w:val="0"/>
                <w:color w:val="000000"/>
                <w:spacing w:val="0"/>
                <w:w w:val="100"/>
                <w:kern w:val="0"/>
                <w:sz w:val="21"/>
                <w:szCs w:val="21"/>
                <w:u w:val="none"/>
                <w:lang w:val="en-US" w:eastAsia="zh-CN" w:bidi="ar"/>
              </w:rPr>
              <w:t>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w:t>
            </w:r>
            <w:r>
              <w:rPr>
                <w:rFonts w:hint="eastAsia" w:ascii="宋体" w:hAnsi="宋体" w:eastAsia="宋体" w:cs="宋体"/>
                <w:i w:val="0"/>
                <w:color w:val="000000"/>
                <w:kern w:val="0"/>
                <w:sz w:val="21"/>
                <w:szCs w:val="21"/>
                <w:u w:val="none"/>
                <w:lang w:val="en-US" w:eastAsia="zh-CN" w:bidi="ar"/>
              </w:rPr>
              <w:t>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151" w:type="pct"/>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C2600900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B040</w:t>
            </w:r>
          </w:p>
        </w:tc>
        <w:tc>
          <w:tcPr>
            <w:tcW w:w="41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9"/>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蓄意虚报、瞒报、拒报粮食基本数据和有关情况</w:t>
            </w:r>
            <w:r>
              <w:rPr>
                <w:rFonts w:hint="eastAsia" w:ascii="宋体" w:hAnsi="宋体" w:cs="宋体"/>
                <w:i w:val="0"/>
                <w:color w:val="000000"/>
                <w:kern w:val="0"/>
                <w:sz w:val="21"/>
                <w:szCs w:val="21"/>
                <w:highlight w:val="none"/>
                <w:u w:val="none"/>
                <w:lang w:val="en-US" w:eastAsia="zh-CN" w:bidi="ar"/>
              </w:rPr>
              <w:t>或</w:t>
            </w:r>
            <w:r>
              <w:rPr>
                <w:rFonts w:hint="eastAsia" w:ascii="宋体" w:hAnsi="宋体" w:eastAsia="宋体" w:cs="宋体"/>
                <w:i w:val="0"/>
                <w:color w:val="000000"/>
                <w:kern w:val="0"/>
                <w:sz w:val="21"/>
                <w:szCs w:val="21"/>
                <w:highlight w:val="none"/>
                <w:u w:val="none"/>
                <w:lang w:val="en-US" w:eastAsia="zh-CN" w:bidi="ar"/>
              </w:rPr>
              <w:t>弄虚作假</w:t>
            </w:r>
            <w:r>
              <w:rPr>
                <w:rFonts w:hint="eastAsia" w:ascii="宋体" w:hAnsi="宋体" w:cs="宋体"/>
                <w:i w:val="0"/>
                <w:color w:val="000000"/>
                <w:kern w:val="0"/>
                <w:sz w:val="21"/>
                <w:szCs w:val="21"/>
                <w:highlight w:val="none"/>
                <w:u w:val="none"/>
                <w:lang w:val="en-US" w:eastAsia="zh-CN" w:bidi="ar"/>
              </w:rPr>
              <w:t>，</w:t>
            </w:r>
            <w:r>
              <w:rPr>
                <w:rFonts w:hint="eastAsia" w:ascii="宋体" w:hAnsi="宋体" w:eastAsia="宋体" w:cs="宋体"/>
                <w:i w:val="0"/>
                <w:color w:val="000000"/>
                <w:kern w:val="0"/>
                <w:sz w:val="21"/>
                <w:szCs w:val="21"/>
                <w:highlight w:val="none"/>
                <w:u w:val="none"/>
                <w:lang w:val="en-US" w:eastAsia="zh-CN" w:bidi="ar"/>
              </w:rPr>
              <w:t>造成特别恶劣社会影响或导致特别严重危害后果的。</w:t>
            </w:r>
          </w:p>
          <w:p>
            <w:pPr>
              <w:keepNext w:val="0"/>
              <w:keepLines w:val="0"/>
              <w:widowControl/>
              <w:numPr>
                <w:ilvl w:val="0"/>
                <w:numId w:val="9"/>
              </w:numPr>
              <w:suppressLineNumbers w:val="0"/>
              <w:ind w:left="0" w:leftChars="0" w:firstLine="0" w:firstLineChars="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未按照规定进行粮食销售出库质量安全检验的行为。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《粮食流通管理条例》第十七条第二款、《粮食质量安全监管办法》第十八条第一款第（一）项、第（二）项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《粮食流通管理条例》第四十五条第（六）项、第五十一条、《粮食质量安全监管办法》第四十六条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正常储存年限内的粮食，未按照规定进行粮食销售出库质量安全检验的。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警告后仍不改正的。</w:t>
            </w:r>
          </w:p>
          <w:p>
            <w:pPr>
              <w:keepNext w:val="0"/>
              <w:keepLines w:val="0"/>
              <w:widowControl/>
              <w:numPr>
                <w:ilvl w:val="0"/>
                <w:numId w:val="1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C7400200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超过正常储存年限的粮食，储存期间使用储粮药剂未满安全间隔期的粮食，以及色泽、气味异常的粮食，未按照规定进行粮食销售出库质量安全检验的。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7"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C7401800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粮食收购者、粮食储存企业未按要求使用仓储设施的行为。</w:t>
            </w:r>
          </w:p>
        </w:tc>
        <w:tc>
          <w:tcPr>
            <w:tcW w:w="37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《粮食流通管理条例》第十三条、《粮食质量安全监管办法》第十二条</w:t>
            </w:r>
          </w:p>
        </w:tc>
        <w:tc>
          <w:tcPr>
            <w:tcW w:w="390"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《粮食流通管理条例》第四十六条、《粮食质量安全监管办法》第四十六条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粮食收购者、粮食储存企业未按要求使用仓储设施的。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责令改正，给予警告；被污染的粮食不得非法销售、加工。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6"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12</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C7401600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41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粮食收购者、粮食储存企业未按照规定使用运输工具的行为。</w:t>
            </w:r>
          </w:p>
        </w:tc>
        <w:tc>
          <w:tcPr>
            <w:tcW w:w="37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《粮食流通管理条例》第十四条、《粮食质量安全监管办法》第二十一条第一款、第二款</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《粮食流通管理条例》第四十六条、《粮食质量安全监管办法》第四十六条</w:t>
            </w:r>
          </w:p>
        </w:tc>
        <w:tc>
          <w:tcPr>
            <w:tcW w:w="120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粮食收购者、粮食储存企业未按照规定使用运输工具的。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责令改正，给予警告；被污染的粮食不得非法销售、加工。</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粮食收购者收购粮食未按照国家有关规定进行质量安全检验的行为。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《粮食流通管理条例》第十一条第二款、《粮食质量安全监管办法》第十三条</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《粮食流通管理条例》第四十五条第（四）项、第五十一条、《粮食质量安全监管办法》第四十六条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涉案粮食货值金额20万元以上35万元以下的。</w:t>
            </w:r>
          </w:p>
          <w:p>
            <w:pPr>
              <w:keepNext w:val="0"/>
              <w:keepLines w:val="0"/>
              <w:widowControl/>
              <w:numPr>
                <w:ilvl w:val="0"/>
                <w:numId w:val="1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2"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C7401900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6"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粮食收购者收购粮食违反规定，对不</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符合食品安全标准的粮食未作为非食用用途单独储存的行为。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《粮食流通管理条例》第十一条第二款、《粮食质量安全监管办法》第十五条第一款</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《粮食流通管理条例》第四十五条第（四）项、第五十一条、《粮食质量安全监管办法》第四十六条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责令改正，给予警告，可以并处20万元以下罚款。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涉案粮食货值金额20万元以上35万元以下的。</w:t>
            </w:r>
          </w:p>
          <w:p>
            <w:pPr>
              <w:keepNext w:val="0"/>
              <w:keepLines w:val="0"/>
              <w:widowControl/>
              <w:numPr>
                <w:ilvl w:val="0"/>
                <w:numId w:val="1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责令改正，给予警告，并处20万元以上35万元以下罚款。对其法定代表人、主要负责人、直接负责的主管人员和其他直接责任人员处以其上一年度从本企业取得收入的1倍以上5倍以下罚款。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涉案粮食货值金额35万元以上的。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1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责令改正，给予警告，并处35万元以上50万元以下罚款。对其法定代表人、主要负责人、直接负责的主管人员和其他直接责任人员处以其上一年度从本企业取得收入的5倍以上10倍以下罚款。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粮食收购者、粮食</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储存企业将不符合规定的粮食作为食用用途销售出库的行为。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《粮食流通管理条例》第十八条、《粮食质量安全监管办法》第十九条</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《粮食流通管理条例》第四十七条、《粮食质量安全监管办法》第四十六条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违法销售出库的粮食货值金额不足1万元的。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没收违法所得，并处1万元以上5万元以下罚款。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违法销售出库的粮食货值金额1万元以上的。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没收违法所得，并处货值金额1倍以上3倍以下罚款。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4"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C7401500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违法销售出库的粮食货值金额1万元以上，且违法行为造成危害后果或负面社会影响的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没收违法所得，并处货值金额3倍以上5倍以下罚款。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粮食应急预案启动后，不按照国家要求承担应急任务，不服从国家的统一安排和调度的行为。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《粮食流通管理条例》第三十五条</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《粮食流通管理条例》第四十九条第二款、第五十一条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不按照国家要求承担应急任务，未造成社会影响或危害后果的。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不服从国家的统一安排和调度，未造成社会影响或危害后果的。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不按照国家要求承担应急任务，不服从国家的统一安排和调度，造成负面社会影响或严重危害后果的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C7401200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不按照国家要求承担应急任务，不服从国家的统一安排和调度，造成特别恶劣社会影响或导致特别严重危害后果的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7"/>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17</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从事政策性粮食经营活动时虚报粮食收储数量的行为。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《粮食流通管理条例》第二十条第（一）项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《粮食流通管理条例》第四十九条第一款第（一）项、第五十一条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8"/>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8"/>
              </w:numPr>
              <w:suppressLineNumbers w:val="0"/>
              <w:ind w:left="0" w:leftChars="0" w:firstLine="0" w:firstLineChars="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C7400700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19"/>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涉案粮食货值金额350万元以上的。</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18</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从事政策性粮食经营活动时通过以陈顶新、以次充好、低收高转、虚假购销、虚假轮换、违规倒卖等方式，套取粮食价差和财政补贴，骗取信贷资金的行为。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《粮食流通管理条例》第二十条第（二）项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《粮食流通管理条例》第四十九条第一款第（二）项、第五十一条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套取粮食价差和财政补贴，骗取信贷资金200万元以上350万元以下的。</w:t>
            </w:r>
          </w:p>
          <w:p>
            <w:pPr>
              <w:keepNext w:val="0"/>
              <w:keepLines w:val="0"/>
              <w:widowControl/>
              <w:numPr>
                <w:ilvl w:val="0"/>
                <w:numId w:val="2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1"/>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套取粮食价差和财政补贴，骗取信贷资金350万元以上的。</w:t>
            </w:r>
          </w:p>
          <w:p>
            <w:pPr>
              <w:keepNext w:val="0"/>
              <w:keepLines w:val="0"/>
              <w:widowControl/>
              <w:numPr>
                <w:ilvl w:val="0"/>
                <w:numId w:val="2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19</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从事政策性粮食经营活动时挤占、挪用、克扣财政补贴、信贷资金的行为。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《粮食流通管理条例》第二十条第（三）项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《粮食流通管理条例》第四十九条第一款第（三）项、第五十一条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挤占、挪用、克扣财政补贴、信贷资金200万元以上350万元以下的。</w:t>
            </w:r>
          </w:p>
          <w:p>
            <w:pPr>
              <w:keepNext w:val="0"/>
              <w:keepLines w:val="0"/>
              <w:widowControl/>
              <w:numPr>
                <w:ilvl w:val="0"/>
                <w:numId w:val="22"/>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C7400400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挤占、挪用、克扣财政补贴、信贷资金350万元以上的。</w:t>
            </w:r>
          </w:p>
          <w:p>
            <w:pPr>
              <w:keepNext w:val="0"/>
              <w:keepLines w:val="0"/>
              <w:widowControl/>
              <w:numPr>
                <w:ilvl w:val="0"/>
                <w:numId w:val="2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以政策性粮食为债务作担保或者清偿债务的行为。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《粮食流通管理条例》第二十条第（四）项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《粮食流通管理条例》第四十九条第一款第（四）项、第五十一条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4"/>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w:t>
            </w:r>
            <w:r>
              <w:rPr>
                <w:rFonts w:hint="eastAsia" w:ascii="宋体" w:hAnsi="宋体" w:eastAsia="宋体" w:cs="宋体"/>
                <w:i w:val="0"/>
                <w:color w:val="000000"/>
                <w:w w:val="90"/>
                <w:kern w:val="0"/>
                <w:sz w:val="21"/>
                <w:szCs w:val="21"/>
                <w:u w:val="none"/>
                <w:lang w:val="en-US" w:eastAsia="zh-CN" w:bidi="ar"/>
              </w:rPr>
              <w:t>间在一个月以下的。</w:t>
            </w:r>
          </w:p>
          <w:p>
            <w:pPr>
              <w:keepNext w:val="0"/>
              <w:keepLines w:val="0"/>
              <w:widowControl/>
              <w:numPr>
                <w:ilvl w:val="0"/>
                <w:numId w:val="2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spacing w:val="0"/>
                <w:w w:val="90"/>
                <w:kern w:val="0"/>
                <w:sz w:val="21"/>
                <w:szCs w:val="21"/>
                <w:u w:val="none"/>
                <w:lang w:val="en-US" w:eastAsia="zh-CN" w:bidi="ar"/>
              </w:rPr>
              <w:t>违法</w:t>
            </w:r>
            <w:r>
              <w:rPr>
                <w:rFonts w:hint="eastAsia" w:ascii="宋体" w:hAnsi="宋体" w:eastAsia="宋体" w:cs="宋体"/>
                <w:i w:val="0"/>
                <w:color w:val="000000"/>
                <w:spacing w:val="0"/>
                <w:w w:val="90"/>
                <w:kern w:val="0"/>
                <w:sz w:val="21"/>
                <w:szCs w:val="21"/>
                <w:u w:val="none"/>
                <w:lang w:val="en-US" w:eastAsia="zh-CN" w:bidi="ar"/>
              </w:rPr>
              <w:t>涉案粮食货值金额125万元</w:t>
            </w:r>
            <w:r>
              <w:rPr>
                <w:rFonts w:hint="eastAsia" w:ascii="宋体" w:hAnsi="宋体" w:eastAsia="宋体" w:cs="宋体"/>
                <w:i w:val="0"/>
                <w:color w:val="000000"/>
                <w:spacing w:val="-20"/>
                <w:w w:val="90"/>
                <w:kern w:val="0"/>
                <w:sz w:val="21"/>
                <w:szCs w:val="21"/>
                <w:u w:val="none"/>
                <w:lang w:val="en-US" w:eastAsia="zh-CN" w:bidi="ar"/>
              </w:rPr>
              <w:t>以下的</w:t>
            </w:r>
            <w:r>
              <w:rPr>
                <w:rFonts w:hint="eastAsia" w:ascii="宋体" w:hAnsi="宋体" w:cs="宋体"/>
                <w:i w:val="0"/>
                <w:color w:val="000000"/>
                <w:spacing w:val="-20"/>
                <w:w w:val="9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pacing w:val="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违法行为持续时间在一个月以上三个月以下的。</w:t>
            </w:r>
          </w:p>
          <w:p>
            <w:pPr>
              <w:keepNext w:val="0"/>
              <w:keepLines w:val="0"/>
              <w:widowControl/>
              <w:numPr>
                <w:ilvl w:val="0"/>
                <w:numId w:val="2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违法行为持续时间在三个月以上六个月以下的。</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26"/>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C7400800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7"/>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违法行为持续时间在六个月以上的。</w:t>
            </w:r>
          </w:p>
          <w:p>
            <w:pPr>
              <w:keepNext w:val="0"/>
              <w:keepLines w:val="0"/>
              <w:widowControl/>
              <w:numPr>
                <w:ilvl w:val="0"/>
                <w:numId w:val="27"/>
              </w:numPr>
              <w:suppressLineNumbers w:val="0"/>
              <w:ind w:left="0" w:leftChars="0" w:firstLine="0" w:firstLineChars="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涉案粮食货值金额350万元以上的。</w:t>
            </w:r>
          </w:p>
          <w:p>
            <w:pPr>
              <w:keepNext w:val="0"/>
              <w:keepLines w:val="0"/>
              <w:widowControl/>
              <w:numPr>
                <w:ilvl w:val="0"/>
                <w:numId w:val="27"/>
              </w:numPr>
              <w:suppressLineNumbers w:val="0"/>
              <w:ind w:left="0" w:leftChars="0" w:firstLine="0" w:firstLineChars="0"/>
              <w:jc w:val="both"/>
              <w:textAlignment w:val="center"/>
              <w:rPr>
                <w:rFonts w:hint="eastAsia" w:ascii="宋体" w:hAnsi="宋体" w:eastAsia="宋体" w:cs="宋体"/>
                <w:i w:val="0"/>
                <w:color w:val="000000"/>
                <w:w w:val="1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1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21</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利用政策性粮食进行除政府委托的政策性任务以外的其他商业经营的行为。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《粮食流通管理条例》第二十条第（五）项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《粮食流通管理条例》第四十九条第一款第（五）项、第五十一条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8"/>
              </w:numPr>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w:t>
            </w:r>
            <w:r>
              <w:rPr>
                <w:rFonts w:hint="eastAsia" w:ascii="宋体" w:hAnsi="宋体" w:eastAsia="宋体" w:cs="宋体"/>
                <w:i w:val="0"/>
                <w:color w:val="000000"/>
                <w:w w:val="90"/>
                <w:kern w:val="0"/>
                <w:sz w:val="21"/>
                <w:szCs w:val="21"/>
                <w:u w:val="none"/>
                <w:lang w:val="en-US" w:eastAsia="zh-CN" w:bidi="ar"/>
              </w:rPr>
              <w:t>间在一个月以下的。</w:t>
            </w:r>
          </w:p>
          <w:p>
            <w:pPr>
              <w:keepNext w:val="0"/>
              <w:keepLines w:val="0"/>
              <w:widowControl/>
              <w:numPr>
                <w:ilvl w:val="0"/>
                <w:numId w:val="28"/>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w w:val="90"/>
                <w:kern w:val="0"/>
                <w:sz w:val="21"/>
                <w:szCs w:val="21"/>
                <w:u w:val="none"/>
                <w:lang w:val="en-US" w:eastAsia="zh-CN" w:bidi="ar"/>
              </w:rPr>
              <w:t>违法</w:t>
            </w:r>
            <w:r>
              <w:rPr>
                <w:rFonts w:hint="eastAsia" w:ascii="宋体" w:hAnsi="宋体" w:eastAsia="宋体" w:cs="宋体"/>
                <w:i w:val="0"/>
                <w:color w:val="000000"/>
                <w:w w:val="90"/>
                <w:kern w:val="0"/>
                <w:sz w:val="21"/>
                <w:szCs w:val="21"/>
                <w:u w:val="none"/>
                <w:lang w:val="en-US" w:eastAsia="zh-CN" w:bidi="ar"/>
              </w:rPr>
              <w:t>涉案粮食货值金额125万元</w:t>
            </w:r>
            <w:r>
              <w:rPr>
                <w:rFonts w:hint="eastAsia" w:ascii="宋体" w:hAnsi="宋体" w:eastAsia="宋体" w:cs="宋体"/>
                <w:i w:val="0"/>
                <w:color w:val="000000"/>
                <w:spacing w:val="-20"/>
                <w:w w:val="90"/>
                <w:kern w:val="0"/>
                <w:sz w:val="21"/>
                <w:szCs w:val="21"/>
                <w:u w:val="none"/>
                <w:lang w:val="en-US" w:eastAsia="zh-CN" w:bidi="ar"/>
              </w:rPr>
              <w:t>以下的</w:t>
            </w:r>
            <w:r>
              <w:rPr>
                <w:rFonts w:hint="eastAsia" w:ascii="宋体" w:hAnsi="宋体" w:cs="宋体"/>
                <w:i w:val="0"/>
                <w:color w:val="000000"/>
                <w:spacing w:val="-20"/>
                <w:w w:val="9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2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违法行为持续时间在一个月以上三个月以下的。</w:t>
            </w:r>
          </w:p>
          <w:p>
            <w:pPr>
              <w:keepNext w:val="0"/>
              <w:keepLines w:val="0"/>
              <w:widowControl/>
              <w:numPr>
                <w:ilvl w:val="0"/>
                <w:numId w:val="29"/>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r>
              <w:rPr>
                <w:rFonts w:hint="eastAsia" w:ascii="宋体" w:hAnsi="宋体" w:cs="宋体"/>
                <w:i w:val="0"/>
                <w:color w:val="000000"/>
                <w:kern w:val="0"/>
                <w:sz w:val="21"/>
                <w:szCs w:val="21"/>
                <w:u w:val="none"/>
                <w:lang w:val="en-US" w:eastAsia="zh-CN" w:bidi="ar"/>
              </w:rPr>
              <w:t>。</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违法行为持续时间在三个月以上六个月以下的。</w:t>
            </w:r>
          </w:p>
          <w:p>
            <w:pPr>
              <w:keepNext w:val="0"/>
              <w:keepLines w:val="0"/>
              <w:widowControl/>
              <w:numPr>
                <w:ilvl w:val="0"/>
                <w:numId w:val="3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0"/>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C7401000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违法行为持续时间在六个月以上的。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违法涉案粮食货值金额350万元以上的。</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1"/>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22</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在政策性粮食出库时掺杂使假、以次充好、调换标的物，拒不执行出库指令或者阻挠出库的行为。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《粮食流通管理条例》第二十条第（六）项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《粮食流通管理条例》第四十九条第一款第（六）项、第五十一条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w w:val="100"/>
                <w:kern w:val="0"/>
                <w:sz w:val="21"/>
                <w:szCs w:val="21"/>
                <w:u w:val="none"/>
                <w:lang w:val="en-US" w:eastAsia="zh-CN" w:bidi="ar"/>
              </w:rPr>
              <w:t>违法</w:t>
            </w:r>
            <w:r>
              <w:rPr>
                <w:rFonts w:hint="eastAsia" w:ascii="宋体" w:hAnsi="宋体" w:eastAsia="宋体" w:cs="宋体"/>
                <w:i w:val="0"/>
                <w:color w:val="000000"/>
                <w:w w:val="100"/>
                <w:kern w:val="0"/>
                <w:sz w:val="21"/>
                <w:szCs w:val="21"/>
                <w:u w:val="none"/>
                <w:lang w:val="en-US" w:eastAsia="zh-CN" w:bidi="ar"/>
              </w:rPr>
              <w:t>涉案粮食货值金额125万元</w:t>
            </w:r>
            <w:r>
              <w:rPr>
                <w:rFonts w:hint="eastAsia" w:ascii="宋体" w:hAnsi="宋体" w:eastAsia="宋体" w:cs="宋体"/>
                <w:i w:val="0"/>
                <w:color w:val="000000"/>
                <w:spacing w:val="-20"/>
                <w:w w:val="100"/>
                <w:kern w:val="0"/>
                <w:sz w:val="21"/>
                <w:szCs w:val="21"/>
                <w:u w:val="none"/>
                <w:lang w:val="en-US" w:eastAsia="zh-CN" w:bidi="ar"/>
              </w:rPr>
              <w:t>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w w:val="1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2"/>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3"/>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3"/>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购买国家限定用途的政策性粮食，违规倒卖或者不按照规定用途处置的行为。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《粮食流通管理条例》第二十条第（七）项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《粮食流通管理条例》第四十九条第一款第（七）项、第五十一条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4"/>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4"/>
              </w:numPr>
              <w:suppressLineNumbers w:val="0"/>
              <w:ind w:left="0" w:leftChars="0" w:firstLine="0" w:firstLineChars="0"/>
              <w:jc w:val="both"/>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C7400300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5"/>
              </w:numPr>
              <w:suppressLineNumbers w:val="0"/>
              <w:ind w:left="0" w:leftChars="0" w:firstLine="0" w:firstLineChars="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5"/>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24</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擅自动用政策性粮食的行为。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《粮食流通管理条例》第二十条第（八）项</w:t>
            </w:r>
          </w:p>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《粮食流通管理条例》第四十九条第一款第（八）项、第五十一条</w:t>
            </w:r>
          </w:p>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6"/>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涉案粮食货值金额200万元以上350万元以下的。</w:t>
            </w:r>
          </w:p>
          <w:p>
            <w:pPr>
              <w:keepNext w:val="0"/>
              <w:keepLines w:val="0"/>
              <w:widowControl/>
              <w:numPr>
                <w:ilvl w:val="0"/>
                <w:numId w:val="36"/>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C7400600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cs="宋体"/>
                <w:i w:val="0"/>
                <w:color w:val="000000"/>
                <w:kern w:val="0"/>
                <w:sz w:val="21"/>
                <w:szCs w:val="21"/>
                <w:highlight w:val="none"/>
                <w:u w:val="none"/>
                <w:lang w:val="en-US" w:eastAsia="zh-CN" w:bidi="ar"/>
              </w:rPr>
              <w:t>违法</w:t>
            </w:r>
            <w:r>
              <w:rPr>
                <w:rFonts w:hint="eastAsia" w:ascii="宋体" w:hAnsi="宋体" w:eastAsia="宋体" w:cs="宋体"/>
                <w:i w:val="0"/>
                <w:color w:val="000000"/>
                <w:kern w:val="0"/>
                <w:sz w:val="21"/>
                <w:szCs w:val="21"/>
                <w:highlight w:val="none"/>
                <w:u w:val="none"/>
                <w:lang w:val="en-US" w:eastAsia="zh-CN" w:bidi="ar"/>
              </w:rPr>
              <w:t>涉案粮食货值金额350万元以上的</w:t>
            </w:r>
            <w:r>
              <w:rPr>
                <w:rFonts w:hint="eastAsia" w:ascii="宋体" w:hAnsi="宋体" w:cs="宋体"/>
                <w:i w:val="0"/>
                <w:color w:val="000000"/>
                <w:kern w:val="0"/>
                <w:sz w:val="21"/>
                <w:szCs w:val="21"/>
                <w:highlight w:val="none"/>
                <w:u w:val="none"/>
                <w:lang w:val="en-US" w:eastAsia="zh-CN" w:bidi="ar"/>
              </w:rPr>
              <w:t>。</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造成特别恶劣社会影响或导致特别严重危害后果的。</w:t>
            </w:r>
          </w:p>
          <w:p>
            <w:pPr>
              <w:keepNext w:val="0"/>
              <w:keepLines w:val="0"/>
              <w:widowControl/>
              <w:numPr>
                <w:ilvl w:val="0"/>
                <w:numId w:val="37"/>
              </w:numPr>
              <w:suppressLineNumbers w:val="0"/>
              <w:jc w:val="both"/>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w:t>
            </w: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A010</w:t>
            </w:r>
          </w:p>
        </w:tc>
        <w:tc>
          <w:tcPr>
            <w:tcW w:w="41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其他违反国家政策性粮食经营管理规定的行为。</w:t>
            </w:r>
          </w:p>
        </w:tc>
        <w:tc>
          <w:tcPr>
            <w:tcW w:w="37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《粮食流通管理条例》第二十条第（九）项</w:t>
            </w:r>
          </w:p>
        </w:tc>
        <w:tc>
          <w:tcPr>
            <w:tcW w:w="390"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《粮食流通管理条例》第四十九条第一款第（九）项、第五十一条</w:t>
            </w: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责令改正，给予警告，没收违法所得，并处50万元以上125万元以下罚款。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1"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A020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涉案粮食货值金额125万元以上200万元以下的。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责令改正，给予警告，没收违法所得，并处125万元以上200万元以下罚款。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A030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涉案粮食货值金额200万元以上350万元以下的。</w:t>
            </w:r>
          </w:p>
          <w:p>
            <w:pPr>
              <w:keepNext w:val="0"/>
              <w:keepLines w:val="0"/>
              <w:widowControl/>
              <w:numPr>
                <w:ilvl w:val="0"/>
                <w:numId w:val="38"/>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造成负面社会影响或严重危害后果的。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责令改正，给予警告，没收违法所得，并处200万元以上350万元以下罚款。对其法定代表人、主要负责人、直接负责的主管人员和其他直接责任人员处以其上一年度从本企业取得收入的1倍以上5倍以下罚款。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C7401100</w:t>
            </w:r>
          </w:p>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A040</w:t>
            </w:r>
          </w:p>
        </w:tc>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7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390"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12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有下列情形之一的：</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违法</w:t>
            </w:r>
            <w:r>
              <w:rPr>
                <w:rFonts w:hint="eastAsia" w:ascii="宋体" w:hAnsi="宋体" w:eastAsia="宋体" w:cs="宋体"/>
                <w:i w:val="0"/>
                <w:color w:val="000000"/>
                <w:kern w:val="0"/>
                <w:sz w:val="21"/>
                <w:szCs w:val="21"/>
                <w:u w:val="none"/>
                <w:lang w:val="en-US" w:eastAsia="zh-CN" w:bidi="ar"/>
              </w:rPr>
              <w:t>涉案粮食货值金额350万元以上的</w:t>
            </w:r>
            <w:r>
              <w:rPr>
                <w:rFonts w:hint="eastAsia" w:ascii="宋体" w:hAnsi="宋体" w:cs="宋体"/>
                <w:i w:val="0"/>
                <w:color w:val="000000"/>
                <w:kern w:val="0"/>
                <w:sz w:val="21"/>
                <w:szCs w:val="21"/>
                <w:u w:val="none"/>
                <w:lang w:val="en-US" w:eastAsia="zh-CN" w:bidi="ar"/>
              </w:rPr>
              <w:t>。</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造成特别恶劣社会影响或导致特别严重危害后果的。</w:t>
            </w:r>
          </w:p>
          <w:p>
            <w:pPr>
              <w:keepNext w:val="0"/>
              <w:keepLines w:val="0"/>
              <w:widowControl/>
              <w:numPr>
                <w:ilvl w:val="0"/>
                <w:numId w:val="39"/>
              </w:numPr>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有其他情节严重情形的。</w:t>
            </w:r>
          </w:p>
        </w:tc>
        <w:tc>
          <w:tcPr>
            <w:tcW w:w="10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责令改正，给予警告，没收违法所得，并处350万元以上500万元以下罚款。对其法定代表人、主要负责人、直接负责的主管人员和其他直接责任人员处以其上一年度从本企业取得收入的5倍以上10倍以下罚款。</w:t>
            </w:r>
          </w:p>
        </w:tc>
        <w:tc>
          <w:tcPr>
            <w:tcW w:w="2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c>
          <w:tcPr>
            <w:tcW w:w="3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bl>
    <w:p>
      <w:pPr>
        <w:jc w:val="center"/>
        <w:rPr>
          <w:rFonts w:ascii="宋体" w:hAnsi="宋体"/>
          <w:color w:val="000000" w:themeColor="text1"/>
          <w:sz w:val="32"/>
          <w:szCs w:val="32"/>
          <w14:textFill>
            <w14:solidFill>
              <w14:schemeClr w14:val="tx1"/>
            </w14:solidFill>
          </w14:textFill>
        </w:rPr>
      </w:pPr>
      <w:r>
        <w:rPr>
          <w:rFonts w:hint="eastAsia" w:ascii="宋体" w:hAnsi="宋体"/>
          <w:sz w:val="32"/>
          <w:szCs w:val="32"/>
        </w:rPr>
        <w:t>《北京市储备粮管理办法》</w:t>
      </w:r>
    </w:p>
    <w:tbl>
      <w:tblPr>
        <w:tblStyle w:val="8"/>
        <w:tblW w:w="5266" w:type="pct"/>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1340"/>
        <w:gridCol w:w="1902"/>
        <w:gridCol w:w="1331"/>
        <w:gridCol w:w="1343"/>
        <w:gridCol w:w="2577"/>
        <w:gridCol w:w="2700"/>
        <w:gridCol w:w="1021"/>
        <w:gridCol w:w="99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trPr>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4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3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违法行为名称</w:t>
            </w:r>
          </w:p>
        </w:tc>
        <w:tc>
          <w:tcPr>
            <w:tcW w:w="89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86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90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4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3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41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可以申请缩短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trPr>
        <w:tc>
          <w:tcPr>
            <w:tcW w:w="160"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448"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637" w:type="pct"/>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44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依据</w:t>
            </w:r>
          </w:p>
        </w:tc>
        <w:tc>
          <w:tcPr>
            <w:tcW w:w="449" w:type="pct"/>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863" w:type="pct"/>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904" w:type="pct"/>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341"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331"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c>
          <w:tcPr>
            <w:tcW w:w="416" w:type="pct"/>
            <w:vMerge w:val="continue"/>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6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26</w:t>
            </w:r>
          </w:p>
        </w:tc>
        <w:tc>
          <w:tcPr>
            <w:tcW w:w="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A000</w:t>
            </w:r>
          </w:p>
        </w:tc>
        <w:tc>
          <w:tcPr>
            <w:tcW w:w="6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承储企业不执行市粮食和储备部门的出入库要求的行为。</w:t>
            </w:r>
          </w:p>
        </w:tc>
        <w:tc>
          <w:tcPr>
            <w:tcW w:w="4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《北京市储备粮管理办法》第八条第一款第（四）项</w:t>
            </w:r>
          </w:p>
        </w:tc>
        <w:tc>
          <w:tcPr>
            <w:tcW w:w="4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《北京市储备粮管理办法》第二十条</w:t>
            </w:r>
          </w:p>
        </w:tc>
        <w:tc>
          <w:tcPr>
            <w:tcW w:w="8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承储企业不执行市粮食和储备部门的出入库要求的。</w:t>
            </w:r>
          </w:p>
        </w:tc>
        <w:tc>
          <w:tcPr>
            <w:tcW w:w="9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处3万元以下罚款。</w:t>
            </w:r>
          </w:p>
        </w:tc>
        <w:tc>
          <w:tcPr>
            <w:tcW w:w="3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41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60"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27</w:t>
            </w:r>
          </w:p>
        </w:tc>
        <w:tc>
          <w:tcPr>
            <w:tcW w:w="44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A000</w:t>
            </w:r>
          </w:p>
        </w:tc>
        <w:tc>
          <w:tcPr>
            <w:tcW w:w="63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承储企业拒绝、阻挠或者干涉监督检查人员依法履行监督检查职责的行为。</w:t>
            </w:r>
          </w:p>
        </w:tc>
        <w:tc>
          <w:tcPr>
            <w:tcW w:w="44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《北京市储备粮管理办法》第十九条</w:t>
            </w:r>
          </w:p>
        </w:tc>
        <w:tc>
          <w:tcPr>
            <w:tcW w:w="449"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《北京市储备粮管理办法》第二十一条</w:t>
            </w:r>
          </w:p>
        </w:tc>
        <w:tc>
          <w:tcPr>
            <w:tcW w:w="86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承储企业拒绝、阻挠或者干涉监督检查人员依法履行监督检查职责的。</w:t>
            </w:r>
          </w:p>
        </w:tc>
        <w:tc>
          <w:tcPr>
            <w:tcW w:w="90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处3万元以下罚款。</w:t>
            </w:r>
          </w:p>
        </w:tc>
        <w:tc>
          <w:tcPr>
            <w:tcW w:w="34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24个月</w:t>
            </w:r>
          </w:p>
        </w:tc>
        <w:tc>
          <w:tcPr>
            <w:tcW w:w="41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3-12个月</w:t>
            </w:r>
          </w:p>
        </w:tc>
      </w:tr>
    </w:tbl>
    <w:p>
      <w:pPr>
        <w:rPr>
          <w:rFonts w:cs="Times New Roman"/>
        </w:rPr>
      </w:pPr>
    </w:p>
    <w:p>
      <w:pPr>
        <w:rPr>
          <w:rFonts w:cs="Times New Roman"/>
        </w:rPr>
      </w:pPr>
      <w:r>
        <w:rPr>
          <w:rFonts w:cs="Times New Roman"/>
        </w:rPr>
        <w:br w:type="page"/>
      </w:r>
    </w:p>
    <w:p>
      <w:pPr>
        <w:jc w:val="center"/>
        <w:rPr>
          <w:rFonts w:hint="eastAsia" w:ascii="宋体" w:hAnsi="宋体" w:cs="宋体"/>
          <w:sz w:val="32"/>
          <w:szCs w:val="32"/>
        </w:rPr>
      </w:pPr>
      <w:r>
        <w:rPr>
          <w:rFonts w:hint="eastAsia" w:ascii="宋体" w:hAnsi="宋体" w:cs="宋体"/>
          <w:sz w:val="32"/>
          <w:szCs w:val="32"/>
        </w:rPr>
        <w:t>《粮油仓储管理办法》</w:t>
      </w:r>
    </w:p>
    <w:tbl>
      <w:tblPr>
        <w:tblStyle w:val="8"/>
        <w:tblW w:w="5330" w:type="pct"/>
        <w:tblInd w:w="-4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
        <w:gridCol w:w="1431"/>
        <w:gridCol w:w="1902"/>
        <w:gridCol w:w="1331"/>
        <w:gridCol w:w="1343"/>
        <w:gridCol w:w="2720"/>
        <w:gridCol w:w="2574"/>
        <w:gridCol w:w="1031"/>
        <w:gridCol w:w="3"/>
        <w:gridCol w:w="1029"/>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trPr>
        <w:tc>
          <w:tcPr>
            <w:tcW w:w="15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7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29"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违法行为名称</w:t>
            </w:r>
          </w:p>
        </w:tc>
        <w:tc>
          <w:tcPr>
            <w:tcW w:w="884"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90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85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41"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42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可以申请缩短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blHeader/>
        </w:trPr>
        <w:tc>
          <w:tcPr>
            <w:tcW w:w="151" w:type="pct"/>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73"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629"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44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依据</w:t>
            </w:r>
          </w:p>
        </w:tc>
        <w:tc>
          <w:tcPr>
            <w:tcW w:w="444"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900"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851"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341"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341" w:type="pct"/>
            <w:gridSpan w:val="2"/>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25" w:type="pct"/>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629"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粮油仓储单位未在规定时间向粮食行政管理部门备案的行为。</w:t>
            </w:r>
          </w:p>
        </w:tc>
        <w:tc>
          <w:tcPr>
            <w:tcW w:w="44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《粮油仓储管理办法》第六条</w:t>
            </w:r>
          </w:p>
        </w:tc>
        <w:tc>
          <w:tcPr>
            <w:tcW w:w="44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《粮油仓储管理办法》第二十八条</w:t>
            </w:r>
          </w:p>
        </w:tc>
        <w:tc>
          <w:tcPr>
            <w:tcW w:w="900"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粮油仓储单位未在规定时间向粮食行政管理部门备案的。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C2601900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629"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处1万元以下罚款。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一般  </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29</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C2602000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粮油仓储单位备案内容弄虚作假的行为。</w:t>
            </w:r>
          </w:p>
        </w:tc>
        <w:tc>
          <w:tcPr>
            <w:tcW w:w="440"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《粮油仓储管理办法》第六条</w:t>
            </w:r>
          </w:p>
        </w:tc>
        <w:tc>
          <w:tcPr>
            <w:tcW w:w="44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《粮油仓储管理办法》第二十八条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粮油仓储单位备案内容弄虚作假的。</w:t>
            </w:r>
          </w:p>
        </w:tc>
        <w:tc>
          <w:tcPr>
            <w:tcW w:w="851" w:type="pct"/>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1"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不纳入</w:t>
            </w:r>
          </w:p>
        </w:tc>
        <w:tc>
          <w:tcPr>
            <w:tcW w:w="341" w:type="pct"/>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不公示</w:t>
            </w:r>
          </w:p>
        </w:tc>
        <w:tc>
          <w:tcPr>
            <w:tcW w:w="425"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C2602000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处1万元以下罚款。</w:t>
            </w:r>
          </w:p>
        </w:tc>
        <w:tc>
          <w:tcPr>
            <w:tcW w:w="3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一般  </w:t>
            </w:r>
          </w:p>
        </w:tc>
        <w:tc>
          <w:tcPr>
            <w:tcW w:w="34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2"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30</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粮油仓储单位未拥有固定经营场地，或者不</w:t>
            </w:r>
            <w:r>
              <w:rPr>
                <w:rFonts w:hint="eastAsia" w:ascii="宋体" w:hAnsi="宋体" w:eastAsia="宋体" w:cs="宋体"/>
                <w:i w:val="0"/>
                <w:color w:val="000000"/>
                <w:kern w:val="0"/>
                <w:sz w:val="21"/>
                <w:szCs w:val="21"/>
                <w:highlight w:val="none"/>
                <w:u w:val="none"/>
                <w:lang w:val="en-US" w:eastAsia="zh-CN" w:bidi="ar"/>
              </w:rPr>
              <w:t>符合</w:t>
            </w:r>
            <w:r>
              <w:rPr>
                <w:rFonts w:hint="eastAsia" w:ascii="宋体" w:hAnsi="宋体" w:eastAsia="宋体" w:cs="宋体"/>
                <w:i w:val="0"/>
                <w:color w:val="000000"/>
                <w:kern w:val="0"/>
                <w:sz w:val="21"/>
                <w:szCs w:val="21"/>
                <w:u w:val="none"/>
                <w:lang w:val="en-US" w:eastAsia="zh-CN" w:bidi="ar"/>
              </w:rPr>
              <w:t>《粮油仓储管理办法》有关污染源、危险源安全距离的规定的行为。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《粮油仓储管理办法》第七条第（一）项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粮油仓储单位不具备固定经营场地，或者不符合《粮油仓储管理办法》有关污染源、危险源安全距离规定的。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粮油仓储单位不符合《粮油仓储管理办法》有关污染源、危险源安全距离的规定，责令改正，拒不改正的。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C2602100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粮油仓储单位不具备固定经营场地，责令改正，拒不改正的。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粮油仓储单位未拥有与从事粮油仓储活动相适应的设施设备，</w:t>
            </w:r>
            <w:r>
              <w:rPr>
                <w:rFonts w:hint="eastAsia" w:ascii="宋体" w:hAnsi="宋体" w:eastAsia="宋体" w:cs="宋体"/>
                <w:i w:val="0"/>
                <w:color w:val="000000"/>
                <w:kern w:val="0"/>
                <w:sz w:val="21"/>
                <w:szCs w:val="21"/>
                <w:highlight w:val="none"/>
                <w:u w:val="none"/>
                <w:lang w:val="en-US" w:eastAsia="zh-CN" w:bidi="ar"/>
              </w:rPr>
              <w:t>或者不符合</w:t>
            </w:r>
            <w:r>
              <w:rPr>
                <w:rFonts w:hint="eastAsia" w:ascii="宋体" w:hAnsi="宋体" w:eastAsia="宋体" w:cs="宋体"/>
                <w:i w:val="0"/>
                <w:color w:val="000000"/>
                <w:kern w:val="0"/>
                <w:sz w:val="21"/>
                <w:szCs w:val="21"/>
                <w:u w:val="none"/>
                <w:lang w:val="en-US" w:eastAsia="zh-CN" w:bidi="ar"/>
              </w:rPr>
              <w:t>粮油储藏技术规范的要求的行为。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《粮油仓储管理办法》第七条第（二）项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粮油仓储单位不具备与从事粮油仓储活动相适应的设施设备，或者不符合粮油储藏技术规范要求的。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粮油仓储单位从事粮油仓储活动的设施设备不符合粮油储藏技术规范的要求，责令改正，拒不改正的。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C2602200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粮油仓储单位不具备与从事粮油仓储活动相适应的设施设备的，责令改正，拒不改正的。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32</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粮油仓储单位未拥有相应的专业技术管理人员的行为。</w:t>
            </w:r>
          </w:p>
        </w:tc>
        <w:tc>
          <w:tcPr>
            <w:tcW w:w="44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《粮油仓储管理办法》第七条第（三）项</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《粮油仓储管理办法》第二十九条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粮油仓储单位未拥有相应的专业技术管理人员的。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责令改正，拒不改正，且粮油仓储单位实际拥有的专业技术管理人员人数占规定人数50%以上的。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处1万元以上2万元以下罚款。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C2602300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责令改正，拒不改正，且粮油仓储单位实际拥有的专业技术管理人员人数占规定人数50%以下的。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处2万元以上3万元以下罚款。</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C2602400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未经国家粮食行政管理部门批准，粮油仓储单位名称中使用“国家储备粮”和“中央储备粮”字样的行为。</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《粮油仓储管理办法》第八条</w:t>
            </w:r>
          </w:p>
        </w:tc>
        <w:tc>
          <w:tcPr>
            <w:tcW w:w="4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未经国家粮食行政管理部门批准，粮油仓储单位名称中使用“国家储备粮”和“中央储备粮”字样的。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责令改正，给予警告。</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5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B010</w:t>
            </w:r>
          </w:p>
        </w:tc>
        <w:tc>
          <w:tcPr>
            <w:tcW w:w="6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粮油仓储单位违反《粮油仓储管理办法》有关粮油出入库、储存等管理规定的行为。</w:t>
            </w:r>
          </w:p>
        </w:tc>
        <w:tc>
          <w:tcPr>
            <w:tcW w:w="440"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《粮油仓储管理办法》第三十一条</w:t>
            </w:r>
          </w:p>
        </w:tc>
        <w:tc>
          <w:tcPr>
            <w:tcW w:w="44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《粮油仓储管理办法》第三十一条</w:t>
            </w: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粮油仓储单位违反《粮油仓储管理办法》有关粮油出入库、储存等管理规定的。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8"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B020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粮油仓储单位违反《粮油仓储管理办法》第十一条、第十五条、第十七条、第十九条、第二十二条，情节严重的，或经警告后仍不改正的。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责令改正，给予警告，可以并处1万元以下罚款；造成粮油储存事故或者安全生产事故的，按照有关法律法规和国家有关规定给予处罚。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B030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粮油仓储单位违反《粮油仓储管理办法》第九条、第十条、第十二条、第十三条、第十六条、第十八条、第二十三条、第二十四条，情节严重的，或经警告后仍不改正的。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责令改正，给予警告，可以并处1万元以上2万元以下罚款；造成粮油储存事故或者安全生产事故的，按照有关法律法规和国家有关规定给予处罚。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5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16"/>
                <w:szCs w:val="16"/>
                <w:u w:val="none"/>
              </w:rPr>
            </w:pPr>
          </w:p>
        </w:tc>
        <w:tc>
          <w:tcPr>
            <w:tcW w:w="4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C2602500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B040</w:t>
            </w:r>
          </w:p>
        </w:tc>
        <w:tc>
          <w:tcPr>
            <w:tcW w:w="6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440"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9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粮油仓储单位违反《粮油仓储管理办法》第十四条、第二十五条、第二十六条、第二十七条，情节严重的，或经警告后仍不改正的。</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w w:val="90"/>
                <w:kern w:val="0"/>
                <w:sz w:val="21"/>
                <w:szCs w:val="21"/>
                <w:u w:val="none"/>
                <w:lang w:val="en-US" w:eastAsia="zh-CN" w:bidi="ar"/>
              </w:rPr>
            </w:pPr>
            <w:r>
              <w:rPr>
                <w:rFonts w:hint="eastAsia" w:ascii="宋体" w:hAnsi="宋体" w:eastAsia="宋体" w:cs="宋体"/>
                <w:i w:val="0"/>
                <w:color w:val="000000"/>
                <w:w w:val="90"/>
                <w:kern w:val="0"/>
                <w:sz w:val="21"/>
                <w:szCs w:val="21"/>
                <w:u w:val="none"/>
                <w:lang w:val="en-US" w:eastAsia="zh-CN" w:bidi="ar"/>
              </w:rPr>
              <w:t>责令改正，给予警告，可以并处2万元以上3万元以下罚款；造成粮油储存事故或者安全生产事故的，按照有关法律法规和国家有关规定给予处罚。</w:t>
            </w:r>
          </w:p>
        </w:tc>
        <w:tc>
          <w:tcPr>
            <w:tcW w:w="34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1"/>
                <w:szCs w:val="21"/>
                <w:u w:val="none"/>
                <w:lang w:val="en-US" w:eastAsia="zh-CN" w:bidi="ar"/>
              </w:rPr>
              <w:t>3-6个月</w:t>
            </w:r>
          </w:p>
        </w:tc>
      </w:tr>
    </w:tbl>
    <w:p>
      <w:pPr>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《国有粮油仓储</w:t>
      </w:r>
      <w:r>
        <w:rPr>
          <w:rFonts w:hint="eastAsia" w:ascii="宋体" w:hAnsi="宋体" w:cs="宋体"/>
          <w:color w:val="000000" w:themeColor="text1"/>
          <w:sz w:val="32"/>
          <w:szCs w:val="32"/>
          <w:lang w:eastAsia="zh-CN"/>
          <w14:textFill>
            <w14:solidFill>
              <w14:schemeClr w14:val="tx1"/>
            </w14:solidFill>
          </w14:textFill>
        </w:rPr>
        <w:t>物流</w:t>
      </w:r>
      <w:r>
        <w:rPr>
          <w:rFonts w:hint="eastAsia" w:ascii="宋体" w:hAnsi="宋体" w:cs="宋体"/>
          <w:color w:val="000000" w:themeColor="text1"/>
          <w:sz w:val="32"/>
          <w:szCs w:val="32"/>
          <w14:textFill>
            <w14:solidFill>
              <w14:schemeClr w14:val="tx1"/>
            </w14:solidFill>
          </w14:textFill>
        </w:rPr>
        <w:t>设施保护办法》</w:t>
      </w:r>
    </w:p>
    <w:tbl>
      <w:tblPr>
        <w:tblStyle w:val="8"/>
        <w:tblW w:w="5320" w:type="pct"/>
        <w:tblInd w:w="-4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1360"/>
        <w:gridCol w:w="1902"/>
        <w:gridCol w:w="1307"/>
        <w:gridCol w:w="1367"/>
        <w:gridCol w:w="2598"/>
        <w:gridCol w:w="2534"/>
        <w:gridCol w:w="1022"/>
        <w:gridCol w:w="1022"/>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blHeader/>
        </w:trPr>
        <w:tc>
          <w:tcPr>
            <w:tcW w:w="16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序</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号</w:t>
            </w:r>
          </w:p>
        </w:tc>
        <w:tc>
          <w:tcPr>
            <w:tcW w:w="45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裁量权</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基准编码</w:t>
            </w:r>
          </w:p>
        </w:tc>
        <w:tc>
          <w:tcPr>
            <w:tcW w:w="63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违法行为名称</w:t>
            </w:r>
          </w:p>
        </w:tc>
        <w:tc>
          <w:tcPr>
            <w:tcW w:w="886"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法律依据</w:t>
            </w:r>
          </w:p>
        </w:tc>
        <w:tc>
          <w:tcPr>
            <w:tcW w:w="861"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具体违法情节</w:t>
            </w:r>
          </w:p>
        </w:tc>
        <w:tc>
          <w:tcPr>
            <w:tcW w:w="840"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处罚裁量权基准</w:t>
            </w:r>
          </w:p>
        </w:tc>
        <w:tc>
          <w:tcPr>
            <w:tcW w:w="33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行为</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分类</w:t>
            </w:r>
          </w:p>
        </w:tc>
        <w:tc>
          <w:tcPr>
            <w:tcW w:w="33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期限</w:t>
            </w:r>
          </w:p>
        </w:tc>
        <w:tc>
          <w:tcPr>
            <w:tcW w:w="48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可以申请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缩短</w:t>
            </w:r>
            <w:r>
              <w:rPr>
                <w:rFonts w:hint="eastAsia" w:ascii="CESI仿宋-GB2312" w:hAnsi="CESI仿宋-GB2312" w:eastAsia="CESI仿宋-GB2312" w:cs="CESI仿宋-GB2312"/>
                <w:b/>
                <w:i w:val="0"/>
                <w:color w:val="000000"/>
                <w:kern w:val="0"/>
                <w:sz w:val="24"/>
                <w:szCs w:val="24"/>
                <w:u w:val="none"/>
                <w:lang w:val="en-US" w:eastAsia="zh-CN" w:bidi="ar"/>
              </w:rPr>
              <w:br w:type="textWrapping"/>
            </w:r>
            <w:r>
              <w:rPr>
                <w:rFonts w:hint="eastAsia" w:ascii="CESI仿宋-GB2312" w:hAnsi="CESI仿宋-GB2312" w:eastAsia="CESI仿宋-GB2312" w:cs="CESI仿宋-GB2312"/>
                <w:b/>
                <w:i w:val="0"/>
                <w:color w:val="000000"/>
                <w:kern w:val="0"/>
                <w:sz w:val="24"/>
                <w:szCs w:val="24"/>
                <w:u w:val="none"/>
                <w:lang w:val="en-US" w:eastAsia="zh-CN" w:bidi="ar"/>
              </w:rPr>
              <w:t>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trPr>
        <w:tc>
          <w:tcPr>
            <w:tcW w:w="169" w:type="pct"/>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50"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630"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433"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违法行为依据</w:t>
            </w:r>
          </w:p>
        </w:tc>
        <w:tc>
          <w:tcPr>
            <w:tcW w:w="453" w:type="pct"/>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CESI仿宋-GB2312" w:hAnsi="CESI仿宋-GB2312" w:eastAsia="CESI仿宋-GB2312" w:cs="CESI仿宋-GB2312"/>
                <w:b/>
                <w:i w:val="0"/>
                <w:color w:val="000000"/>
                <w:kern w:val="0"/>
                <w:sz w:val="24"/>
                <w:szCs w:val="24"/>
                <w:u w:val="none"/>
                <w:lang w:val="en-US" w:eastAsia="zh-CN" w:bidi="ar"/>
              </w:rPr>
            </w:pPr>
            <w:r>
              <w:rPr>
                <w:rFonts w:hint="eastAsia" w:ascii="CESI仿宋-GB2312" w:hAnsi="CESI仿宋-GB2312" w:eastAsia="CESI仿宋-GB2312" w:cs="CESI仿宋-GB2312"/>
                <w:b/>
                <w:i w:val="0"/>
                <w:color w:val="000000"/>
                <w:kern w:val="0"/>
                <w:sz w:val="24"/>
                <w:szCs w:val="24"/>
                <w:u w:val="none"/>
                <w:lang w:val="en-US" w:eastAsia="zh-CN" w:bidi="ar"/>
              </w:rPr>
              <w:t>处罚依据</w:t>
            </w:r>
          </w:p>
        </w:tc>
        <w:tc>
          <w:tcPr>
            <w:tcW w:w="861"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840" w:type="pct"/>
            <w:vMerge w:val="continue"/>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CESI仿宋-GB2312" w:hAnsi="CESI仿宋-GB2312" w:eastAsia="CESI仿宋-GB2312" w:cs="CESI仿宋-GB2312"/>
                <w:b/>
                <w:i w:val="0"/>
                <w:color w:val="000000"/>
                <w:sz w:val="18"/>
                <w:szCs w:val="18"/>
                <w:u w:val="none"/>
              </w:rPr>
            </w:pPr>
          </w:p>
        </w:tc>
        <w:tc>
          <w:tcPr>
            <w:tcW w:w="338"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338" w:type="pct"/>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c>
          <w:tcPr>
            <w:tcW w:w="483" w:type="pct"/>
            <w:vMerge w:val="continue"/>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CESI仿宋-GB2312" w:hAnsi="CESI仿宋-GB2312" w:eastAsia="CESI仿宋-GB2312" w:cs="CESI仿宋-GB2312"/>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4" w:hRule="atLeast"/>
        </w:trPr>
        <w:tc>
          <w:tcPr>
            <w:tcW w:w="1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C2602600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违反《国有粮油仓储物流设施保护办法》规定，拆除、迁移粮油仓储物流设施，非法侵占、损坏粮油仓储物流设施或者擅自改变其用途的行为。</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《国有粮油仓储物流设施保护办法》第五条</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《国有粮油仓储物流设施保护办法》第二十一条</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违反《国有粮油仓储物流设施保护办法》规定，拆除、迁移粮油仓储物流设施，非法侵占、损坏粮油仓储物流设施或者擅自改变其用途的。</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责令其限期改正，并依法予以警告或者罚款；有违法所得的，没收违法所得。（具体罚款金额待国家发展改革委明确）</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严重</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12个月</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1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C2602800</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B000</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粮油仓储单位违反《国有粮油仓储物流设施保护办法》规定，未及时备案，</w:t>
            </w:r>
            <w:r>
              <w:rPr>
                <w:rFonts w:hint="eastAsia" w:ascii="宋体" w:hAnsi="宋体" w:eastAsia="宋体" w:cs="宋体"/>
                <w:i w:val="0"/>
                <w:color w:val="000000"/>
                <w:kern w:val="0"/>
                <w:sz w:val="21"/>
                <w:szCs w:val="21"/>
                <w:highlight w:val="none"/>
                <w:u w:val="none"/>
                <w:lang w:val="en-US" w:eastAsia="zh-CN" w:bidi="ar"/>
              </w:rPr>
              <w:t>拒不改正</w:t>
            </w:r>
            <w:r>
              <w:rPr>
                <w:rFonts w:hint="eastAsia" w:ascii="宋体" w:hAnsi="宋体" w:eastAsia="宋体" w:cs="宋体"/>
                <w:i w:val="0"/>
                <w:color w:val="000000"/>
                <w:kern w:val="0"/>
                <w:sz w:val="21"/>
                <w:szCs w:val="21"/>
                <w:u w:val="none"/>
                <w:lang w:val="en-US" w:eastAsia="zh-CN" w:bidi="ar"/>
              </w:rPr>
              <w:t>的行为。</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《国有粮油仓储物流设施保护办法》第六条第一款、第七条第二款、第八条第一款、第九条第一款</w:t>
            </w: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《国有粮油仓储物流设施保护办法》第二十三条第一款</w:t>
            </w:r>
          </w:p>
        </w:tc>
        <w:tc>
          <w:tcPr>
            <w:tcW w:w="8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粮油仓储单位违反《国有粮油仓储物流设施保护办法》规定，未及时备案，</w:t>
            </w:r>
            <w:r>
              <w:rPr>
                <w:rFonts w:hint="eastAsia" w:ascii="宋体" w:hAnsi="宋体" w:eastAsia="宋体" w:cs="宋体"/>
                <w:i w:val="0"/>
                <w:color w:val="000000"/>
                <w:kern w:val="0"/>
                <w:sz w:val="21"/>
                <w:szCs w:val="21"/>
                <w:highlight w:val="none"/>
                <w:u w:val="none"/>
                <w:lang w:val="en-US" w:eastAsia="zh-CN" w:bidi="ar"/>
              </w:rPr>
              <w:t>拒不改正</w:t>
            </w:r>
            <w:r>
              <w:rPr>
                <w:rFonts w:hint="eastAsia" w:ascii="宋体" w:hAnsi="宋体" w:eastAsia="宋体" w:cs="宋体"/>
                <w:i w:val="0"/>
                <w:color w:val="000000"/>
                <w:kern w:val="0"/>
                <w:sz w:val="21"/>
                <w:szCs w:val="21"/>
                <w:u w:val="none"/>
                <w:lang w:val="en-US" w:eastAsia="zh-CN" w:bidi="ar"/>
              </w:rPr>
              <w:t>的。</w:t>
            </w:r>
          </w:p>
        </w:tc>
        <w:tc>
          <w:tcPr>
            <w:tcW w:w="84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依法予以警告或者罚款。（具体罚款金额待国家发展改革委明确）</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一般</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6个月</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3个月</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b/>
          <w:i w:val="0"/>
          <w:color w:val="000000"/>
          <w:kern w:val="0"/>
          <w:sz w:val="24"/>
          <w:szCs w:val="24"/>
          <w:u w:val="none"/>
          <w:lang w:val="en-US" w:eastAsia="zh-CN" w:bidi="ar"/>
        </w:rPr>
        <w:sectPr>
          <w:pgSz w:w="16838" w:h="11906" w:orient="landscape"/>
          <w:pgMar w:top="1803" w:right="1440" w:bottom="1803" w:left="1440" w:header="851" w:footer="992" w:gutter="0"/>
          <w:pgNumType w:fmt="numberInDash"/>
          <w:cols w:space="0" w:num="1"/>
          <w:rtlGutter w:val="0"/>
          <w:docGrid w:type="lines" w:linePitch="312" w:charSpace="0"/>
        </w:sectPr>
      </w:pPr>
      <w:r>
        <w:rPr>
          <w:rFonts w:hint="eastAsia" w:ascii="CESI仿宋-GB2312" w:hAnsi="CESI仿宋-GB2312" w:eastAsia="CESI仿宋-GB2312" w:cs="CESI仿宋-GB2312"/>
          <w:b/>
          <w:i w:val="0"/>
          <w:color w:val="000000"/>
          <w:kern w:val="0"/>
          <w:sz w:val="24"/>
          <w:szCs w:val="24"/>
          <w:u w:val="none"/>
          <w:lang w:val="en-US" w:eastAsia="zh-CN" w:bidi="ar"/>
        </w:rPr>
        <w:t>注：涉及“以上”的含本数、涉及“以下”的不含本数。违法涉案粮食货值，按其违法行为发生地当月的市场平均价格计算。相关制度另有规定的，从其规定。</w:t>
      </w:r>
    </w:p>
    <w:p>
      <w:pPr>
        <w:pStyle w:val="2"/>
      </w:pPr>
    </w:p>
    <w:p>
      <w:pPr>
        <w:pStyle w:val="2"/>
      </w:pPr>
    </w:p>
    <w:p>
      <w:pPr>
        <w:pStyle w:val="2"/>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bidi w:val="0"/>
        <w:ind w:firstLine="280" w:firstLineChars="1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20320</wp:posOffset>
                </wp:positionV>
                <wp:extent cx="55435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6pt;margin-top:1.6pt;height:0pt;width:436.5pt;z-index:251660288;mso-width-relative:page;mso-height-relative:page;" filled="f" stroked="t" coordsize="21600,21600" o:gfxdata="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31nZG1gAAAAYBAAAPAAAAAAAAAAEAIAAAADgAAABkcnMvZG93bnJldi54bWxQSwEC&#10;FAAUAAAACACHTuJAuSRFPeABAACoAwAADgAAAAAAAAABACAAAAA7AQAAZHJzL2Uyb0RvYy54bWxQ&#10;SwUGAAAAAAYABgBZAQAAjQ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抄送：机关各处室。</w:t>
      </w:r>
    </w:p>
    <w:p>
      <w:pPr>
        <w:ind w:firstLine="280" w:firstLineChars="100"/>
        <w:jc w:val="left"/>
        <w:rPr>
          <w:rFonts w:hint="eastAsia"/>
          <w:lang w:val="en-US" w:eastAsia="zh-CN"/>
        </w:rPr>
        <w:sectPr>
          <w:footerReference r:id="rId5" w:type="default"/>
          <w:pgSz w:w="11906" w:h="16838"/>
          <w:pgMar w:top="1270" w:right="1689" w:bottom="1270" w:left="1689" w:header="851" w:footer="992" w:gutter="0"/>
          <w:pgNumType w:fmt="numberInDash"/>
          <w:cols w:space="720" w:num="1"/>
          <w:docGrid w:type="lines" w:linePitch="312" w:charSpace="0"/>
        </w:sect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5080</wp:posOffset>
                </wp:positionV>
                <wp:extent cx="55435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2pt;margin-top:0.4pt;height:0pt;width:436.5pt;z-index:251659264;mso-width-relative:page;mso-height-relative:page;" filled="f" stroked="t" coordsize="21600,21600" o:gfxdata="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Qp14T0wAAAAQBAAAPAAAAAAAAAAEAIAAAADgAAABkcnMvZG93bnJldi54bWxQSwECFAAU&#10;AAAACACHTuJA8gGT4eABAACoAwAADgAAAAAAAAABACAAAAA4AQAAZHJzL2Uyb0RvYy54bWxQSwUG&#10;AAAAAAYABgBZAQAAig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355600</wp:posOffset>
                </wp:positionV>
                <wp:extent cx="55435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2pt;margin-top:28pt;height:0pt;width:436.5pt;z-index:251658240;mso-width-relative:page;mso-height-relative:page;" filled="f" stroked="t" coordsize="21600,21600" o:gfxdata="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6PEN9cAAAAIAQAADwAAAAAAAAABACAAAAA4AAAAZHJzL2Rvd25yZXYueG1sUEsB&#10;AhQAFAAAAAgAh07iQPTg8RzgAQAAqAMAAA4AAAAAAAAAAQAgAAAAPAEAAGRycy9lMm9Eb2MueG1s&#10;UEsFBgAAAAAGAAYAWQEAAI4FAAAAAA==&#10;">
                <v:fill on="f" focussize="0,0"/>
                <v:stroke weight="1pt" color="#000000" joinstyle="round"/>
                <v:imagedata o:title=""/>
                <o:lock v:ext="edit" aspectratio="f"/>
              </v:line>
            </w:pict>
          </mc:Fallback>
        </mc:AlternateContent>
      </w:r>
      <w:r>
        <w:rPr>
          <w:rFonts w:hint="eastAsia" w:ascii="仿宋_GB2312" w:hAnsi="仿宋_GB2312" w:eastAsia="仿宋_GB2312" w:cs="仿宋_GB2312"/>
          <w:bCs/>
          <w:sz w:val="28"/>
          <w:szCs w:val="28"/>
        </w:rPr>
        <w:t xml:space="preserve">北京市粮食和物资储备局办公室         </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24</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12</w:t>
      </w:r>
      <w:r>
        <w:rPr>
          <w:rFonts w:hint="eastAsia" w:ascii="仿宋_GB2312" w:hAnsi="仿宋_GB2312" w:eastAsia="仿宋_GB2312" w:cs="仿宋_GB2312"/>
          <w:bCs/>
          <w:sz w:val="28"/>
          <w:szCs w:val="28"/>
          <w:highlight w:val="none"/>
        </w:rPr>
        <w:t>日</w:t>
      </w:r>
      <w:r>
        <w:rPr>
          <w:rFonts w:hint="eastAsia" w:ascii="仿宋_GB2312" w:hAnsi="仿宋_GB2312" w:eastAsia="仿宋_GB2312" w:cs="仿宋_GB2312"/>
          <w:bCs/>
          <w:sz w:val="28"/>
          <w:szCs w:val="28"/>
        </w:rPr>
        <w:t>印发</w:t>
      </w:r>
    </w:p>
    <w:p>
      <w:pPr>
        <w:pStyle w:val="2"/>
        <w:spacing w:after="0"/>
        <w:ind w:left="0" w:leftChars="0" w:firstLine="0" w:firstLineChars="0"/>
      </w:pPr>
      <w:bookmarkStart w:id="2" w:name="_GoBack"/>
      <w:bookmarkEnd w:id="2"/>
    </w:p>
    <w:sectPr>
      <w:pgSz w:w="11906" w:h="16838"/>
      <w:pgMar w:top="1440" w:right="1803" w:bottom="1440" w:left="180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E78EA"/>
    <w:multiLevelType w:val="singleLevel"/>
    <w:tmpl w:val="9BFE78EA"/>
    <w:lvl w:ilvl="0" w:tentative="0">
      <w:start w:val="1"/>
      <w:numFmt w:val="decimal"/>
      <w:lvlText w:val="%1."/>
      <w:lvlJc w:val="left"/>
      <w:pPr>
        <w:tabs>
          <w:tab w:val="left" w:pos="312"/>
        </w:tabs>
      </w:pPr>
    </w:lvl>
  </w:abstractNum>
  <w:abstractNum w:abstractNumId="1">
    <w:nsid w:val="9CB3480A"/>
    <w:multiLevelType w:val="singleLevel"/>
    <w:tmpl w:val="9CB3480A"/>
    <w:lvl w:ilvl="0" w:tentative="0">
      <w:start w:val="1"/>
      <w:numFmt w:val="decimal"/>
      <w:suff w:val="space"/>
      <w:lvlText w:val="%1."/>
      <w:lvlJc w:val="left"/>
    </w:lvl>
  </w:abstractNum>
  <w:abstractNum w:abstractNumId="2">
    <w:nsid w:val="B5F2DEC8"/>
    <w:multiLevelType w:val="singleLevel"/>
    <w:tmpl w:val="B5F2DEC8"/>
    <w:lvl w:ilvl="0" w:tentative="0">
      <w:start w:val="1"/>
      <w:numFmt w:val="decimal"/>
      <w:suff w:val="space"/>
      <w:lvlText w:val="%1."/>
      <w:lvlJc w:val="left"/>
    </w:lvl>
  </w:abstractNum>
  <w:abstractNum w:abstractNumId="3">
    <w:nsid w:val="B5FFB8D4"/>
    <w:multiLevelType w:val="singleLevel"/>
    <w:tmpl w:val="B5FFB8D4"/>
    <w:lvl w:ilvl="0" w:tentative="0">
      <w:start w:val="1"/>
      <w:numFmt w:val="decimal"/>
      <w:suff w:val="space"/>
      <w:lvlText w:val="%1."/>
      <w:lvlJc w:val="left"/>
    </w:lvl>
  </w:abstractNum>
  <w:abstractNum w:abstractNumId="4">
    <w:nsid w:val="BCFC0BDF"/>
    <w:multiLevelType w:val="singleLevel"/>
    <w:tmpl w:val="BCFC0BDF"/>
    <w:lvl w:ilvl="0" w:tentative="0">
      <w:start w:val="1"/>
      <w:numFmt w:val="decimal"/>
      <w:suff w:val="space"/>
      <w:lvlText w:val="%1."/>
      <w:lvlJc w:val="left"/>
    </w:lvl>
  </w:abstractNum>
  <w:abstractNum w:abstractNumId="5">
    <w:nsid w:val="BD7F8371"/>
    <w:multiLevelType w:val="singleLevel"/>
    <w:tmpl w:val="BD7F8371"/>
    <w:lvl w:ilvl="0" w:tentative="0">
      <w:start w:val="1"/>
      <w:numFmt w:val="decimal"/>
      <w:suff w:val="space"/>
      <w:lvlText w:val="%1."/>
      <w:lvlJc w:val="left"/>
    </w:lvl>
  </w:abstractNum>
  <w:abstractNum w:abstractNumId="6">
    <w:nsid w:val="BF7FCBBE"/>
    <w:multiLevelType w:val="singleLevel"/>
    <w:tmpl w:val="BF7FCBBE"/>
    <w:lvl w:ilvl="0" w:tentative="0">
      <w:start w:val="1"/>
      <w:numFmt w:val="decimal"/>
      <w:suff w:val="space"/>
      <w:lvlText w:val="%1."/>
      <w:lvlJc w:val="left"/>
    </w:lvl>
  </w:abstractNum>
  <w:abstractNum w:abstractNumId="7">
    <w:nsid w:val="BF9F1680"/>
    <w:multiLevelType w:val="singleLevel"/>
    <w:tmpl w:val="BF9F1680"/>
    <w:lvl w:ilvl="0" w:tentative="0">
      <w:start w:val="1"/>
      <w:numFmt w:val="decimal"/>
      <w:suff w:val="space"/>
      <w:lvlText w:val="%1."/>
      <w:lvlJc w:val="left"/>
    </w:lvl>
  </w:abstractNum>
  <w:abstractNum w:abstractNumId="8">
    <w:nsid w:val="BFE359C4"/>
    <w:multiLevelType w:val="singleLevel"/>
    <w:tmpl w:val="BFE359C4"/>
    <w:lvl w:ilvl="0" w:tentative="0">
      <w:start w:val="1"/>
      <w:numFmt w:val="decimal"/>
      <w:lvlText w:val="%1."/>
      <w:lvlJc w:val="left"/>
      <w:pPr>
        <w:tabs>
          <w:tab w:val="left" w:pos="312"/>
        </w:tabs>
      </w:pPr>
    </w:lvl>
  </w:abstractNum>
  <w:abstractNum w:abstractNumId="9">
    <w:nsid w:val="BFFB66C3"/>
    <w:multiLevelType w:val="singleLevel"/>
    <w:tmpl w:val="BFFB66C3"/>
    <w:lvl w:ilvl="0" w:tentative="0">
      <w:start w:val="1"/>
      <w:numFmt w:val="decimal"/>
      <w:lvlText w:val="%1."/>
      <w:lvlJc w:val="left"/>
      <w:pPr>
        <w:tabs>
          <w:tab w:val="left" w:pos="312"/>
        </w:tabs>
      </w:pPr>
    </w:lvl>
  </w:abstractNum>
  <w:abstractNum w:abstractNumId="10">
    <w:nsid w:val="CED6234F"/>
    <w:multiLevelType w:val="singleLevel"/>
    <w:tmpl w:val="CED6234F"/>
    <w:lvl w:ilvl="0" w:tentative="0">
      <w:start w:val="1"/>
      <w:numFmt w:val="decimal"/>
      <w:suff w:val="space"/>
      <w:lvlText w:val="%1."/>
      <w:lvlJc w:val="left"/>
    </w:lvl>
  </w:abstractNum>
  <w:abstractNum w:abstractNumId="11">
    <w:nsid w:val="DBFBA4CE"/>
    <w:multiLevelType w:val="singleLevel"/>
    <w:tmpl w:val="DBFBA4CE"/>
    <w:lvl w:ilvl="0" w:tentative="0">
      <w:start w:val="1"/>
      <w:numFmt w:val="decimal"/>
      <w:suff w:val="space"/>
      <w:lvlText w:val="%1."/>
      <w:lvlJc w:val="left"/>
    </w:lvl>
  </w:abstractNum>
  <w:abstractNum w:abstractNumId="12">
    <w:nsid w:val="DFEEAAB6"/>
    <w:multiLevelType w:val="singleLevel"/>
    <w:tmpl w:val="DFEEAAB6"/>
    <w:lvl w:ilvl="0" w:tentative="0">
      <w:start w:val="1"/>
      <w:numFmt w:val="decimal"/>
      <w:lvlText w:val="%1."/>
      <w:lvlJc w:val="left"/>
      <w:pPr>
        <w:tabs>
          <w:tab w:val="left" w:pos="312"/>
        </w:tabs>
      </w:pPr>
    </w:lvl>
  </w:abstractNum>
  <w:abstractNum w:abstractNumId="13">
    <w:nsid w:val="DFFCD761"/>
    <w:multiLevelType w:val="singleLevel"/>
    <w:tmpl w:val="DFFCD761"/>
    <w:lvl w:ilvl="0" w:tentative="0">
      <w:start w:val="1"/>
      <w:numFmt w:val="decimal"/>
      <w:suff w:val="space"/>
      <w:lvlText w:val="%1."/>
      <w:lvlJc w:val="left"/>
    </w:lvl>
  </w:abstractNum>
  <w:abstractNum w:abstractNumId="14">
    <w:nsid w:val="EFACA596"/>
    <w:multiLevelType w:val="singleLevel"/>
    <w:tmpl w:val="EFACA596"/>
    <w:lvl w:ilvl="0" w:tentative="0">
      <w:start w:val="1"/>
      <w:numFmt w:val="decimal"/>
      <w:suff w:val="space"/>
      <w:lvlText w:val="%1."/>
      <w:lvlJc w:val="left"/>
    </w:lvl>
  </w:abstractNum>
  <w:abstractNum w:abstractNumId="15">
    <w:nsid w:val="EFD79B1D"/>
    <w:multiLevelType w:val="singleLevel"/>
    <w:tmpl w:val="EFD79B1D"/>
    <w:lvl w:ilvl="0" w:tentative="0">
      <w:start w:val="1"/>
      <w:numFmt w:val="decimal"/>
      <w:suff w:val="space"/>
      <w:lvlText w:val="%1."/>
      <w:lvlJc w:val="left"/>
    </w:lvl>
  </w:abstractNum>
  <w:abstractNum w:abstractNumId="16">
    <w:nsid w:val="EFE75F1B"/>
    <w:multiLevelType w:val="singleLevel"/>
    <w:tmpl w:val="EFE75F1B"/>
    <w:lvl w:ilvl="0" w:tentative="0">
      <w:start w:val="1"/>
      <w:numFmt w:val="decimal"/>
      <w:suff w:val="space"/>
      <w:lvlText w:val="%1."/>
      <w:lvlJc w:val="left"/>
    </w:lvl>
  </w:abstractNum>
  <w:abstractNum w:abstractNumId="17">
    <w:nsid w:val="EFF2C98B"/>
    <w:multiLevelType w:val="singleLevel"/>
    <w:tmpl w:val="EFF2C98B"/>
    <w:lvl w:ilvl="0" w:tentative="0">
      <w:start w:val="1"/>
      <w:numFmt w:val="decimal"/>
      <w:lvlText w:val="%1."/>
      <w:lvlJc w:val="left"/>
      <w:pPr>
        <w:tabs>
          <w:tab w:val="left" w:pos="312"/>
        </w:tabs>
      </w:pPr>
    </w:lvl>
  </w:abstractNum>
  <w:abstractNum w:abstractNumId="18">
    <w:nsid w:val="F57AEF68"/>
    <w:multiLevelType w:val="singleLevel"/>
    <w:tmpl w:val="F57AEF68"/>
    <w:lvl w:ilvl="0" w:tentative="0">
      <w:start w:val="1"/>
      <w:numFmt w:val="decimal"/>
      <w:lvlText w:val="%1."/>
      <w:lvlJc w:val="left"/>
      <w:pPr>
        <w:tabs>
          <w:tab w:val="left" w:pos="312"/>
        </w:tabs>
      </w:pPr>
    </w:lvl>
  </w:abstractNum>
  <w:abstractNum w:abstractNumId="19">
    <w:nsid w:val="F7FFDD2F"/>
    <w:multiLevelType w:val="singleLevel"/>
    <w:tmpl w:val="F7FFDD2F"/>
    <w:lvl w:ilvl="0" w:tentative="0">
      <w:start w:val="1"/>
      <w:numFmt w:val="decimal"/>
      <w:suff w:val="space"/>
      <w:lvlText w:val="%1."/>
      <w:lvlJc w:val="left"/>
    </w:lvl>
  </w:abstractNum>
  <w:abstractNum w:abstractNumId="20">
    <w:nsid w:val="FAE020B3"/>
    <w:multiLevelType w:val="singleLevel"/>
    <w:tmpl w:val="FAE020B3"/>
    <w:lvl w:ilvl="0" w:tentative="0">
      <w:start w:val="1"/>
      <w:numFmt w:val="decimal"/>
      <w:suff w:val="space"/>
      <w:lvlText w:val="%1."/>
      <w:lvlJc w:val="left"/>
    </w:lvl>
  </w:abstractNum>
  <w:abstractNum w:abstractNumId="21">
    <w:nsid w:val="FBDE82FF"/>
    <w:multiLevelType w:val="singleLevel"/>
    <w:tmpl w:val="FBDE82FF"/>
    <w:lvl w:ilvl="0" w:tentative="0">
      <w:start w:val="1"/>
      <w:numFmt w:val="decimal"/>
      <w:suff w:val="space"/>
      <w:lvlText w:val="%1."/>
      <w:lvlJc w:val="left"/>
    </w:lvl>
  </w:abstractNum>
  <w:abstractNum w:abstractNumId="22">
    <w:nsid w:val="FD62A32A"/>
    <w:multiLevelType w:val="singleLevel"/>
    <w:tmpl w:val="FD62A32A"/>
    <w:lvl w:ilvl="0" w:tentative="0">
      <w:start w:val="1"/>
      <w:numFmt w:val="decimal"/>
      <w:suff w:val="space"/>
      <w:lvlText w:val="%1."/>
      <w:lvlJc w:val="left"/>
    </w:lvl>
  </w:abstractNum>
  <w:abstractNum w:abstractNumId="23">
    <w:nsid w:val="FDF87544"/>
    <w:multiLevelType w:val="singleLevel"/>
    <w:tmpl w:val="FDF87544"/>
    <w:lvl w:ilvl="0" w:tentative="0">
      <w:start w:val="1"/>
      <w:numFmt w:val="decimal"/>
      <w:suff w:val="space"/>
      <w:lvlText w:val="%1."/>
      <w:lvlJc w:val="left"/>
    </w:lvl>
  </w:abstractNum>
  <w:abstractNum w:abstractNumId="24">
    <w:nsid w:val="FEFED836"/>
    <w:multiLevelType w:val="singleLevel"/>
    <w:tmpl w:val="FEFED836"/>
    <w:lvl w:ilvl="0" w:tentative="0">
      <w:start w:val="1"/>
      <w:numFmt w:val="decimal"/>
      <w:lvlText w:val="%1."/>
      <w:lvlJc w:val="left"/>
      <w:pPr>
        <w:tabs>
          <w:tab w:val="left" w:pos="312"/>
        </w:tabs>
      </w:pPr>
    </w:lvl>
  </w:abstractNum>
  <w:abstractNum w:abstractNumId="25">
    <w:nsid w:val="FF5A6774"/>
    <w:multiLevelType w:val="singleLevel"/>
    <w:tmpl w:val="FF5A6774"/>
    <w:lvl w:ilvl="0" w:tentative="0">
      <w:start w:val="1"/>
      <w:numFmt w:val="decimal"/>
      <w:lvlText w:val="%1."/>
      <w:lvlJc w:val="left"/>
      <w:pPr>
        <w:tabs>
          <w:tab w:val="left" w:pos="312"/>
        </w:tabs>
      </w:pPr>
    </w:lvl>
  </w:abstractNum>
  <w:abstractNum w:abstractNumId="26">
    <w:nsid w:val="FFFC6577"/>
    <w:multiLevelType w:val="singleLevel"/>
    <w:tmpl w:val="FFFC6577"/>
    <w:lvl w:ilvl="0" w:tentative="0">
      <w:start w:val="1"/>
      <w:numFmt w:val="decimal"/>
      <w:suff w:val="space"/>
      <w:lvlText w:val="%1."/>
      <w:lvlJc w:val="left"/>
    </w:lvl>
  </w:abstractNum>
  <w:abstractNum w:abstractNumId="27">
    <w:nsid w:val="07EFC6CD"/>
    <w:multiLevelType w:val="singleLevel"/>
    <w:tmpl w:val="07EFC6CD"/>
    <w:lvl w:ilvl="0" w:tentative="0">
      <w:start w:val="1"/>
      <w:numFmt w:val="decimal"/>
      <w:suff w:val="space"/>
      <w:lvlText w:val="%1."/>
      <w:lvlJc w:val="left"/>
    </w:lvl>
  </w:abstractNum>
  <w:abstractNum w:abstractNumId="28">
    <w:nsid w:val="2D8EEAAE"/>
    <w:multiLevelType w:val="singleLevel"/>
    <w:tmpl w:val="2D8EEAAE"/>
    <w:lvl w:ilvl="0" w:tentative="0">
      <w:start w:val="1"/>
      <w:numFmt w:val="decimal"/>
      <w:suff w:val="space"/>
      <w:lvlText w:val="%1."/>
      <w:lvlJc w:val="left"/>
    </w:lvl>
  </w:abstractNum>
  <w:abstractNum w:abstractNumId="29">
    <w:nsid w:val="3D77C433"/>
    <w:multiLevelType w:val="singleLevel"/>
    <w:tmpl w:val="3D77C433"/>
    <w:lvl w:ilvl="0" w:tentative="0">
      <w:start w:val="1"/>
      <w:numFmt w:val="decimal"/>
      <w:suff w:val="space"/>
      <w:lvlText w:val="%1."/>
      <w:lvlJc w:val="left"/>
    </w:lvl>
  </w:abstractNum>
  <w:abstractNum w:abstractNumId="30">
    <w:nsid w:val="5EB9C271"/>
    <w:multiLevelType w:val="singleLevel"/>
    <w:tmpl w:val="5EB9C271"/>
    <w:lvl w:ilvl="0" w:tentative="0">
      <w:start w:val="1"/>
      <w:numFmt w:val="decimal"/>
      <w:suff w:val="space"/>
      <w:lvlText w:val="%1."/>
      <w:lvlJc w:val="left"/>
    </w:lvl>
  </w:abstractNum>
  <w:abstractNum w:abstractNumId="31">
    <w:nsid w:val="5FDFDA2A"/>
    <w:multiLevelType w:val="singleLevel"/>
    <w:tmpl w:val="5FDFDA2A"/>
    <w:lvl w:ilvl="0" w:tentative="0">
      <w:start w:val="1"/>
      <w:numFmt w:val="decimal"/>
      <w:suff w:val="space"/>
      <w:lvlText w:val="%1."/>
      <w:lvlJc w:val="left"/>
    </w:lvl>
  </w:abstractNum>
  <w:abstractNum w:abstractNumId="32">
    <w:nsid w:val="657A80F8"/>
    <w:multiLevelType w:val="singleLevel"/>
    <w:tmpl w:val="657A80F8"/>
    <w:lvl w:ilvl="0" w:tentative="0">
      <w:start w:val="1"/>
      <w:numFmt w:val="decimal"/>
      <w:suff w:val="space"/>
      <w:lvlText w:val="%1."/>
      <w:lvlJc w:val="left"/>
    </w:lvl>
  </w:abstractNum>
  <w:abstractNum w:abstractNumId="33">
    <w:nsid w:val="72FF6EB2"/>
    <w:multiLevelType w:val="singleLevel"/>
    <w:tmpl w:val="72FF6EB2"/>
    <w:lvl w:ilvl="0" w:tentative="0">
      <w:start w:val="1"/>
      <w:numFmt w:val="decimal"/>
      <w:lvlText w:val="%1."/>
      <w:lvlJc w:val="left"/>
      <w:pPr>
        <w:tabs>
          <w:tab w:val="left" w:pos="312"/>
        </w:tabs>
      </w:pPr>
    </w:lvl>
  </w:abstractNum>
  <w:abstractNum w:abstractNumId="34">
    <w:nsid w:val="7EEC5F66"/>
    <w:multiLevelType w:val="singleLevel"/>
    <w:tmpl w:val="7EEC5F66"/>
    <w:lvl w:ilvl="0" w:tentative="0">
      <w:start w:val="1"/>
      <w:numFmt w:val="decimal"/>
      <w:suff w:val="space"/>
      <w:lvlText w:val="%1."/>
      <w:lvlJc w:val="left"/>
    </w:lvl>
  </w:abstractNum>
  <w:abstractNum w:abstractNumId="35">
    <w:nsid w:val="7FED3FC9"/>
    <w:multiLevelType w:val="singleLevel"/>
    <w:tmpl w:val="7FED3FC9"/>
    <w:lvl w:ilvl="0" w:tentative="0">
      <w:start w:val="1"/>
      <w:numFmt w:val="decimal"/>
      <w:suff w:val="space"/>
      <w:lvlText w:val="%1."/>
      <w:lvlJc w:val="left"/>
    </w:lvl>
  </w:abstractNum>
  <w:abstractNum w:abstractNumId="36">
    <w:nsid w:val="7FF61176"/>
    <w:multiLevelType w:val="singleLevel"/>
    <w:tmpl w:val="7FF61176"/>
    <w:lvl w:ilvl="0" w:tentative="0">
      <w:start w:val="1"/>
      <w:numFmt w:val="decimal"/>
      <w:lvlText w:val="%1."/>
      <w:lvlJc w:val="left"/>
      <w:pPr>
        <w:tabs>
          <w:tab w:val="left" w:pos="312"/>
        </w:tabs>
      </w:pPr>
    </w:lvl>
  </w:abstractNum>
  <w:abstractNum w:abstractNumId="37">
    <w:nsid w:val="7FFE95BD"/>
    <w:multiLevelType w:val="singleLevel"/>
    <w:tmpl w:val="7FFE95BD"/>
    <w:lvl w:ilvl="0" w:tentative="0">
      <w:start w:val="1"/>
      <w:numFmt w:val="decimal"/>
      <w:suff w:val="space"/>
      <w:lvlText w:val="%1."/>
      <w:lvlJc w:val="left"/>
    </w:lvl>
  </w:abstractNum>
  <w:abstractNum w:abstractNumId="38">
    <w:nsid w:val="7FFF58DF"/>
    <w:multiLevelType w:val="singleLevel"/>
    <w:tmpl w:val="7FFF58DF"/>
    <w:lvl w:ilvl="0" w:tentative="0">
      <w:start w:val="1"/>
      <w:numFmt w:val="decimal"/>
      <w:suff w:val="space"/>
      <w:lvlText w:val="%1."/>
      <w:lvlJc w:val="left"/>
    </w:lvl>
  </w:abstractNum>
  <w:num w:numId="1">
    <w:abstractNumId w:val="15"/>
  </w:num>
  <w:num w:numId="2">
    <w:abstractNumId w:val="11"/>
  </w:num>
  <w:num w:numId="3">
    <w:abstractNumId w:val="3"/>
  </w:num>
  <w:num w:numId="4">
    <w:abstractNumId w:val="31"/>
  </w:num>
  <w:num w:numId="5">
    <w:abstractNumId w:val="24"/>
  </w:num>
  <w:num w:numId="6">
    <w:abstractNumId w:val="34"/>
  </w:num>
  <w:num w:numId="7">
    <w:abstractNumId w:val="37"/>
  </w:num>
  <w:num w:numId="8">
    <w:abstractNumId w:val="26"/>
  </w:num>
  <w:num w:numId="9">
    <w:abstractNumId w:val="22"/>
  </w:num>
  <w:num w:numId="10">
    <w:abstractNumId w:val="35"/>
  </w:num>
  <w:num w:numId="11">
    <w:abstractNumId w:val="20"/>
  </w:num>
  <w:num w:numId="12">
    <w:abstractNumId w:val="33"/>
  </w:num>
  <w:num w:numId="13">
    <w:abstractNumId w:val="17"/>
  </w:num>
  <w:num w:numId="14">
    <w:abstractNumId w:val="12"/>
  </w:num>
  <w:num w:numId="15">
    <w:abstractNumId w:val="25"/>
  </w:num>
  <w:num w:numId="16">
    <w:abstractNumId w:val="8"/>
  </w:num>
  <w:num w:numId="17">
    <w:abstractNumId w:val="10"/>
  </w:num>
  <w:num w:numId="18">
    <w:abstractNumId w:val="29"/>
  </w:num>
  <w:num w:numId="19">
    <w:abstractNumId w:val="4"/>
  </w:num>
  <w:num w:numId="20">
    <w:abstractNumId w:val="2"/>
  </w:num>
  <w:num w:numId="21">
    <w:abstractNumId w:val="19"/>
  </w:num>
  <w:num w:numId="22">
    <w:abstractNumId w:val="5"/>
  </w:num>
  <w:num w:numId="23">
    <w:abstractNumId w:val="27"/>
  </w:num>
  <w:num w:numId="24">
    <w:abstractNumId w:val="9"/>
  </w:num>
  <w:num w:numId="25">
    <w:abstractNumId w:val="36"/>
  </w:num>
  <w:num w:numId="26">
    <w:abstractNumId w:val="0"/>
  </w:num>
  <w:num w:numId="27">
    <w:abstractNumId w:val="21"/>
  </w:num>
  <w:num w:numId="28">
    <w:abstractNumId w:val="23"/>
  </w:num>
  <w:num w:numId="29">
    <w:abstractNumId w:val="13"/>
  </w:num>
  <w:num w:numId="30">
    <w:abstractNumId w:val="30"/>
  </w:num>
  <w:num w:numId="31">
    <w:abstractNumId w:val="1"/>
  </w:num>
  <w:num w:numId="32">
    <w:abstractNumId w:val="38"/>
  </w:num>
  <w:num w:numId="33">
    <w:abstractNumId w:val="18"/>
  </w:num>
  <w:num w:numId="34">
    <w:abstractNumId w:val="14"/>
  </w:num>
  <w:num w:numId="35">
    <w:abstractNumId w:val="28"/>
  </w:num>
  <w:num w:numId="36">
    <w:abstractNumId w:val="32"/>
  </w:num>
  <w:num w:numId="37">
    <w:abstractNumId w:val="7"/>
  </w:num>
  <w:num w:numId="38">
    <w:abstractNumId w:val="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0E"/>
    <w:rsid w:val="00180465"/>
    <w:rsid w:val="002A2296"/>
    <w:rsid w:val="004D3892"/>
    <w:rsid w:val="00613959"/>
    <w:rsid w:val="00751773"/>
    <w:rsid w:val="009157F6"/>
    <w:rsid w:val="00925879"/>
    <w:rsid w:val="009E6AD7"/>
    <w:rsid w:val="00B14E76"/>
    <w:rsid w:val="00C87DD8"/>
    <w:rsid w:val="00CF26A2"/>
    <w:rsid w:val="00DB210E"/>
    <w:rsid w:val="00E3025F"/>
    <w:rsid w:val="00ED0F6B"/>
    <w:rsid w:val="00F92B03"/>
    <w:rsid w:val="01001A02"/>
    <w:rsid w:val="016A23DD"/>
    <w:rsid w:val="020B640F"/>
    <w:rsid w:val="03117041"/>
    <w:rsid w:val="035B342C"/>
    <w:rsid w:val="04B00522"/>
    <w:rsid w:val="05AC1E17"/>
    <w:rsid w:val="070D0CF2"/>
    <w:rsid w:val="070D4DBB"/>
    <w:rsid w:val="08B5414C"/>
    <w:rsid w:val="08B565A0"/>
    <w:rsid w:val="09CD7A25"/>
    <w:rsid w:val="0A616AD2"/>
    <w:rsid w:val="0C8D692D"/>
    <w:rsid w:val="0D0116AB"/>
    <w:rsid w:val="0E53087E"/>
    <w:rsid w:val="0EE25119"/>
    <w:rsid w:val="0F7729A5"/>
    <w:rsid w:val="100E5B54"/>
    <w:rsid w:val="1114424D"/>
    <w:rsid w:val="11C53515"/>
    <w:rsid w:val="130E1AF8"/>
    <w:rsid w:val="13ABA1D4"/>
    <w:rsid w:val="144926BA"/>
    <w:rsid w:val="14EC1B47"/>
    <w:rsid w:val="15A253C0"/>
    <w:rsid w:val="16A07414"/>
    <w:rsid w:val="16B759AD"/>
    <w:rsid w:val="16E051FE"/>
    <w:rsid w:val="17C63E55"/>
    <w:rsid w:val="17FEB801"/>
    <w:rsid w:val="19464EA3"/>
    <w:rsid w:val="1A5F5E79"/>
    <w:rsid w:val="1A630160"/>
    <w:rsid w:val="1A8D3974"/>
    <w:rsid w:val="1AE75225"/>
    <w:rsid w:val="1AF749C7"/>
    <w:rsid w:val="1C3D5BC4"/>
    <w:rsid w:val="1D3B42B8"/>
    <w:rsid w:val="1DDBE1BE"/>
    <w:rsid w:val="1E990B37"/>
    <w:rsid w:val="1E9B3263"/>
    <w:rsid w:val="1FB96C25"/>
    <w:rsid w:val="1FFB205C"/>
    <w:rsid w:val="207E2ACC"/>
    <w:rsid w:val="20CA62F9"/>
    <w:rsid w:val="23EA5726"/>
    <w:rsid w:val="26154D9F"/>
    <w:rsid w:val="27A319E0"/>
    <w:rsid w:val="27CFE921"/>
    <w:rsid w:val="27FD4F21"/>
    <w:rsid w:val="287C7715"/>
    <w:rsid w:val="29E71BFF"/>
    <w:rsid w:val="2A3DB07A"/>
    <w:rsid w:val="2A9346FC"/>
    <w:rsid w:val="2AB2132F"/>
    <w:rsid w:val="2AFFB0A6"/>
    <w:rsid w:val="2BA23CA7"/>
    <w:rsid w:val="2BFB4B84"/>
    <w:rsid w:val="2CF42A5A"/>
    <w:rsid w:val="2CFF439E"/>
    <w:rsid w:val="2D2F3278"/>
    <w:rsid w:val="2DD39DB5"/>
    <w:rsid w:val="2DDA2958"/>
    <w:rsid w:val="2DFB202A"/>
    <w:rsid w:val="2E7BDD47"/>
    <w:rsid w:val="2EF76C3D"/>
    <w:rsid w:val="2F6A4D09"/>
    <w:rsid w:val="2FDBC434"/>
    <w:rsid w:val="2FFD77EA"/>
    <w:rsid w:val="2FFEFA52"/>
    <w:rsid w:val="3077FBE8"/>
    <w:rsid w:val="30FC2354"/>
    <w:rsid w:val="3206066B"/>
    <w:rsid w:val="32F698FE"/>
    <w:rsid w:val="3365562A"/>
    <w:rsid w:val="34336C43"/>
    <w:rsid w:val="34945ACB"/>
    <w:rsid w:val="35EC98EA"/>
    <w:rsid w:val="36CF2A92"/>
    <w:rsid w:val="377DC1E4"/>
    <w:rsid w:val="37FD10A9"/>
    <w:rsid w:val="387B2BE2"/>
    <w:rsid w:val="391F6084"/>
    <w:rsid w:val="39FC654B"/>
    <w:rsid w:val="3BBF6A46"/>
    <w:rsid w:val="3BEF8E5C"/>
    <w:rsid w:val="3D93D0D8"/>
    <w:rsid w:val="3DA63591"/>
    <w:rsid w:val="3DBE87BC"/>
    <w:rsid w:val="3DEF2403"/>
    <w:rsid w:val="3DFD0EFD"/>
    <w:rsid w:val="3DFF9589"/>
    <w:rsid w:val="3EDB79FB"/>
    <w:rsid w:val="3F141A27"/>
    <w:rsid w:val="3F1FAAF0"/>
    <w:rsid w:val="3F3BA69A"/>
    <w:rsid w:val="3F7E7AC1"/>
    <w:rsid w:val="3F8E7AD2"/>
    <w:rsid w:val="3FBEF5CF"/>
    <w:rsid w:val="3FDB7207"/>
    <w:rsid w:val="3FE2A840"/>
    <w:rsid w:val="3FFED615"/>
    <w:rsid w:val="403F3C5F"/>
    <w:rsid w:val="40AC0320"/>
    <w:rsid w:val="416C6D06"/>
    <w:rsid w:val="441C29D3"/>
    <w:rsid w:val="464F6423"/>
    <w:rsid w:val="469D4E78"/>
    <w:rsid w:val="486B6CD5"/>
    <w:rsid w:val="487E4E61"/>
    <w:rsid w:val="4A9FDF69"/>
    <w:rsid w:val="4ADFEA18"/>
    <w:rsid w:val="4AFF4593"/>
    <w:rsid w:val="4B417B71"/>
    <w:rsid w:val="4B6E1B60"/>
    <w:rsid w:val="4B9B94B9"/>
    <w:rsid w:val="4BFF2C1C"/>
    <w:rsid w:val="4D11650B"/>
    <w:rsid w:val="4D8FBA0B"/>
    <w:rsid w:val="4E005326"/>
    <w:rsid w:val="4E7E20D4"/>
    <w:rsid w:val="4EF68057"/>
    <w:rsid w:val="4F6F5983"/>
    <w:rsid w:val="4FBD11B5"/>
    <w:rsid w:val="4FDD04CF"/>
    <w:rsid w:val="51FED7AB"/>
    <w:rsid w:val="52821976"/>
    <w:rsid w:val="52E42DD4"/>
    <w:rsid w:val="532FD89B"/>
    <w:rsid w:val="535E51D5"/>
    <w:rsid w:val="53651C7A"/>
    <w:rsid w:val="5367005E"/>
    <w:rsid w:val="53B761C2"/>
    <w:rsid w:val="547F8494"/>
    <w:rsid w:val="54B84515"/>
    <w:rsid w:val="553441B2"/>
    <w:rsid w:val="55934569"/>
    <w:rsid w:val="55B7CB8A"/>
    <w:rsid w:val="55BE1278"/>
    <w:rsid w:val="55CAC2B5"/>
    <w:rsid w:val="55D775B5"/>
    <w:rsid w:val="56F1A809"/>
    <w:rsid w:val="56FDAC83"/>
    <w:rsid w:val="57F8F778"/>
    <w:rsid w:val="587FF25E"/>
    <w:rsid w:val="58FE23A2"/>
    <w:rsid w:val="59B30062"/>
    <w:rsid w:val="59BB48E8"/>
    <w:rsid w:val="5A7E6152"/>
    <w:rsid w:val="5A9DC452"/>
    <w:rsid w:val="5AB86F66"/>
    <w:rsid w:val="5AE67F76"/>
    <w:rsid w:val="5AF26ECA"/>
    <w:rsid w:val="5AFF91B2"/>
    <w:rsid w:val="5BD462C2"/>
    <w:rsid w:val="5BD75DB0"/>
    <w:rsid w:val="5BFF3E16"/>
    <w:rsid w:val="5CBA6849"/>
    <w:rsid w:val="5D7A5079"/>
    <w:rsid w:val="5DFB5BC2"/>
    <w:rsid w:val="5E3C7CAF"/>
    <w:rsid w:val="5E7E07C4"/>
    <w:rsid w:val="5ED3213A"/>
    <w:rsid w:val="5EDA00F4"/>
    <w:rsid w:val="5EDB752B"/>
    <w:rsid w:val="5EFA7CCD"/>
    <w:rsid w:val="5F476563"/>
    <w:rsid w:val="5F53B5C0"/>
    <w:rsid w:val="5F5D5269"/>
    <w:rsid w:val="5F65CF32"/>
    <w:rsid w:val="5F7B5849"/>
    <w:rsid w:val="5FB7EE78"/>
    <w:rsid w:val="5FBF4C04"/>
    <w:rsid w:val="5FFCDF2C"/>
    <w:rsid w:val="5FFCFEB2"/>
    <w:rsid w:val="5FFD8B8C"/>
    <w:rsid w:val="60BD1497"/>
    <w:rsid w:val="6125790B"/>
    <w:rsid w:val="61FFA47A"/>
    <w:rsid w:val="62B05E0E"/>
    <w:rsid w:val="62BA8425"/>
    <w:rsid w:val="63FB0090"/>
    <w:rsid w:val="6557D0C1"/>
    <w:rsid w:val="65AE411C"/>
    <w:rsid w:val="65C168BC"/>
    <w:rsid w:val="67511516"/>
    <w:rsid w:val="676E9336"/>
    <w:rsid w:val="67FF53EA"/>
    <w:rsid w:val="680F4F96"/>
    <w:rsid w:val="682A27CA"/>
    <w:rsid w:val="682F4805"/>
    <w:rsid w:val="68FD6E7B"/>
    <w:rsid w:val="6A154EFE"/>
    <w:rsid w:val="6A225C03"/>
    <w:rsid w:val="6A351EDA"/>
    <w:rsid w:val="6A490568"/>
    <w:rsid w:val="6AC0151D"/>
    <w:rsid w:val="6AEC5376"/>
    <w:rsid w:val="6B810977"/>
    <w:rsid w:val="6BBFA819"/>
    <w:rsid w:val="6BF99BE3"/>
    <w:rsid w:val="6BFB3F9D"/>
    <w:rsid w:val="6BFE23C0"/>
    <w:rsid w:val="6CC7CD92"/>
    <w:rsid w:val="6D7346A3"/>
    <w:rsid w:val="6DE32C41"/>
    <w:rsid w:val="6DE92931"/>
    <w:rsid w:val="6DEC2388"/>
    <w:rsid w:val="6DF7404F"/>
    <w:rsid w:val="6DFBCC87"/>
    <w:rsid w:val="6DFFFBAF"/>
    <w:rsid w:val="6E6D3E92"/>
    <w:rsid w:val="6E75EA55"/>
    <w:rsid w:val="6E7FB0BD"/>
    <w:rsid w:val="6EC31393"/>
    <w:rsid w:val="6EF10E2C"/>
    <w:rsid w:val="6F3FED1D"/>
    <w:rsid w:val="6F5F6DF4"/>
    <w:rsid w:val="6F6EA8E7"/>
    <w:rsid w:val="6F713999"/>
    <w:rsid w:val="6F8C797B"/>
    <w:rsid w:val="6F919BD2"/>
    <w:rsid w:val="6FAF8616"/>
    <w:rsid w:val="6FB7D747"/>
    <w:rsid w:val="6FBB27F8"/>
    <w:rsid w:val="6FBF629D"/>
    <w:rsid w:val="6FF6C99C"/>
    <w:rsid w:val="6FFE42D6"/>
    <w:rsid w:val="6FFF0252"/>
    <w:rsid w:val="6FFF15DD"/>
    <w:rsid w:val="6FFF438D"/>
    <w:rsid w:val="6FFF5554"/>
    <w:rsid w:val="6FFFD59F"/>
    <w:rsid w:val="6FFFF42E"/>
    <w:rsid w:val="7034683F"/>
    <w:rsid w:val="726C284B"/>
    <w:rsid w:val="72B36220"/>
    <w:rsid w:val="72BBB2CF"/>
    <w:rsid w:val="72F077C1"/>
    <w:rsid w:val="72FF39A7"/>
    <w:rsid w:val="733F38EC"/>
    <w:rsid w:val="73755347"/>
    <w:rsid w:val="737FF4C0"/>
    <w:rsid w:val="73B37201"/>
    <w:rsid w:val="73F7FA68"/>
    <w:rsid w:val="7445043E"/>
    <w:rsid w:val="74512603"/>
    <w:rsid w:val="753FE43F"/>
    <w:rsid w:val="75766150"/>
    <w:rsid w:val="757DE146"/>
    <w:rsid w:val="75AE79FD"/>
    <w:rsid w:val="75C7A9BC"/>
    <w:rsid w:val="75ED5D32"/>
    <w:rsid w:val="75F408E9"/>
    <w:rsid w:val="75FCB8F0"/>
    <w:rsid w:val="769E7B3E"/>
    <w:rsid w:val="76DB2A9E"/>
    <w:rsid w:val="76FFCFA4"/>
    <w:rsid w:val="772FE8C4"/>
    <w:rsid w:val="777DBFD5"/>
    <w:rsid w:val="778F79A6"/>
    <w:rsid w:val="77A5306D"/>
    <w:rsid w:val="77AF68FF"/>
    <w:rsid w:val="77B70250"/>
    <w:rsid w:val="77BF9DD0"/>
    <w:rsid w:val="77DF9B17"/>
    <w:rsid w:val="77F9EEB6"/>
    <w:rsid w:val="77FD4DC4"/>
    <w:rsid w:val="78293A96"/>
    <w:rsid w:val="78AB4BDB"/>
    <w:rsid w:val="797F6958"/>
    <w:rsid w:val="79BAD126"/>
    <w:rsid w:val="79BE087C"/>
    <w:rsid w:val="79C7C3E5"/>
    <w:rsid w:val="79F769E9"/>
    <w:rsid w:val="79FEB521"/>
    <w:rsid w:val="79FF2C72"/>
    <w:rsid w:val="7A378B29"/>
    <w:rsid w:val="7A5A4E6D"/>
    <w:rsid w:val="7A5FFF1D"/>
    <w:rsid w:val="7ABF326F"/>
    <w:rsid w:val="7AF72BB9"/>
    <w:rsid w:val="7AFB8B21"/>
    <w:rsid w:val="7B1706E8"/>
    <w:rsid w:val="7B575CF9"/>
    <w:rsid w:val="7B6EF8F5"/>
    <w:rsid w:val="7B719B6D"/>
    <w:rsid w:val="7B762CF6"/>
    <w:rsid w:val="7BBB6E6B"/>
    <w:rsid w:val="7BD7E85F"/>
    <w:rsid w:val="7BDD13F7"/>
    <w:rsid w:val="7BDD976E"/>
    <w:rsid w:val="7BE703BF"/>
    <w:rsid w:val="7BE74774"/>
    <w:rsid w:val="7BE74F34"/>
    <w:rsid w:val="7BFB8592"/>
    <w:rsid w:val="7C176C82"/>
    <w:rsid w:val="7C712344"/>
    <w:rsid w:val="7C7B8556"/>
    <w:rsid w:val="7CA5C7A5"/>
    <w:rsid w:val="7CB326E8"/>
    <w:rsid w:val="7CBF69DE"/>
    <w:rsid w:val="7CCE3C7C"/>
    <w:rsid w:val="7CD2C51B"/>
    <w:rsid w:val="7CF55A9E"/>
    <w:rsid w:val="7CF70C3D"/>
    <w:rsid w:val="7D5DED9A"/>
    <w:rsid w:val="7D7FE918"/>
    <w:rsid w:val="7D942692"/>
    <w:rsid w:val="7DB03D44"/>
    <w:rsid w:val="7DCF13CE"/>
    <w:rsid w:val="7DDF816E"/>
    <w:rsid w:val="7DEF48A0"/>
    <w:rsid w:val="7DF17BE0"/>
    <w:rsid w:val="7DF6AEBC"/>
    <w:rsid w:val="7DF92336"/>
    <w:rsid w:val="7DFB6D79"/>
    <w:rsid w:val="7DFF8A44"/>
    <w:rsid w:val="7DFFD9AA"/>
    <w:rsid w:val="7DFFFA35"/>
    <w:rsid w:val="7E3E5F35"/>
    <w:rsid w:val="7E78DA4E"/>
    <w:rsid w:val="7E7F13DF"/>
    <w:rsid w:val="7E7F1CA5"/>
    <w:rsid w:val="7EBD4F6A"/>
    <w:rsid w:val="7EBFF52E"/>
    <w:rsid w:val="7EDF4F9F"/>
    <w:rsid w:val="7EEEC2F2"/>
    <w:rsid w:val="7EF7164B"/>
    <w:rsid w:val="7EF7ACA9"/>
    <w:rsid w:val="7EFFCDF8"/>
    <w:rsid w:val="7F178481"/>
    <w:rsid w:val="7F1FED4C"/>
    <w:rsid w:val="7F256B0C"/>
    <w:rsid w:val="7F2D8BFF"/>
    <w:rsid w:val="7F37326E"/>
    <w:rsid w:val="7F3B2F6B"/>
    <w:rsid w:val="7F3E5B02"/>
    <w:rsid w:val="7F3F6D98"/>
    <w:rsid w:val="7F4B0ED6"/>
    <w:rsid w:val="7F596A36"/>
    <w:rsid w:val="7F635BEC"/>
    <w:rsid w:val="7F6DBCC5"/>
    <w:rsid w:val="7F6F8797"/>
    <w:rsid w:val="7F7D58EC"/>
    <w:rsid w:val="7F8E75CB"/>
    <w:rsid w:val="7F979402"/>
    <w:rsid w:val="7F9DC1FE"/>
    <w:rsid w:val="7FA169FF"/>
    <w:rsid w:val="7FA7AFF6"/>
    <w:rsid w:val="7FB1C5AF"/>
    <w:rsid w:val="7FB96FFE"/>
    <w:rsid w:val="7FBBB557"/>
    <w:rsid w:val="7FCFE816"/>
    <w:rsid w:val="7FD5F4B8"/>
    <w:rsid w:val="7FD6570E"/>
    <w:rsid w:val="7FDFCFFA"/>
    <w:rsid w:val="7FEBD2C8"/>
    <w:rsid w:val="7FEBF835"/>
    <w:rsid w:val="7FEC40F4"/>
    <w:rsid w:val="7FEFD6F1"/>
    <w:rsid w:val="7FF10994"/>
    <w:rsid w:val="7FF7AFE1"/>
    <w:rsid w:val="7FF9C881"/>
    <w:rsid w:val="7FFCCDDA"/>
    <w:rsid w:val="7FFDFA4D"/>
    <w:rsid w:val="7FFE4C02"/>
    <w:rsid w:val="7FFF0449"/>
    <w:rsid w:val="7FFF10B0"/>
    <w:rsid w:val="7FFF1669"/>
    <w:rsid w:val="7FFF1EF8"/>
    <w:rsid w:val="7FFF9330"/>
    <w:rsid w:val="84EF66BB"/>
    <w:rsid w:val="8BD9392E"/>
    <w:rsid w:val="8EDF7461"/>
    <w:rsid w:val="8F6F314C"/>
    <w:rsid w:val="8FF340B1"/>
    <w:rsid w:val="8FFF0752"/>
    <w:rsid w:val="95FEA41D"/>
    <w:rsid w:val="9AFFB165"/>
    <w:rsid w:val="9BE3D14D"/>
    <w:rsid w:val="9BFCD59E"/>
    <w:rsid w:val="9C9F10B7"/>
    <w:rsid w:val="9D4B5CFF"/>
    <w:rsid w:val="9DB69370"/>
    <w:rsid w:val="9DD61A83"/>
    <w:rsid w:val="9F7B05F2"/>
    <w:rsid w:val="9F9B839F"/>
    <w:rsid w:val="9FD32C04"/>
    <w:rsid w:val="9FFB4497"/>
    <w:rsid w:val="9FFD0A30"/>
    <w:rsid w:val="A17534D1"/>
    <w:rsid w:val="A3567C1A"/>
    <w:rsid w:val="A3EF315A"/>
    <w:rsid w:val="A3EF59C5"/>
    <w:rsid w:val="A9FF5396"/>
    <w:rsid w:val="ABBC6905"/>
    <w:rsid w:val="ABFBFA02"/>
    <w:rsid w:val="AD375D27"/>
    <w:rsid w:val="ADAFC1B1"/>
    <w:rsid w:val="AEEF5803"/>
    <w:rsid w:val="AF5FE7D8"/>
    <w:rsid w:val="AF8663E9"/>
    <w:rsid w:val="AFAA658D"/>
    <w:rsid w:val="AFE9A1CC"/>
    <w:rsid w:val="AFFE7B02"/>
    <w:rsid w:val="B3DDF11B"/>
    <w:rsid w:val="B5765EAE"/>
    <w:rsid w:val="B6D7F142"/>
    <w:rsid w:val="B7DC1029"/>
    <w:rsid w:val="B7EECE3F"/>
    <w:rsid w:val="B7FEEC38"/>
    <w:rsid w:val="B7FF2195"/>
    <w:rsid w:val="B86EBD32"/>
    <w:rsid w:val="B95F4700"/>
    <w:rsid w:val="B9DF16CD"/>
    <w:rsid w:val="BA7B23C6"/>
    <w:rsid w:val="BB7B746E"/>
    <w:rsid w:val="BBE7BF90"/>
    <w:rsid w:val="BD7F59BF"/>
    <w:rsid w:val="BDCB2BE5"/>
    <w:rsid w:val="BDFBF583"/>
    <w:rsid w:val="BDFDBECD"/>
    <w:rsid w:val="BE8FB294"/>
    <w:rsid w:val="BEBF4111"/>
    <w:rsid w:val="BF32AD2B"/>
    <w:rsid w:val="BF3F7F43"/>
    <w:rsid w:val="BFBF0A45"/>
    <w:rsid w:val="BFDF80CA"/>
    <w:rsid w:val="BFED132D"/>
    <w:rsid w:val="BFEEFBEF"/>
    <w:rsid w:val="BFEF71F0"/>
    <w:rsid w:val="BFF79B8E"/>
    <w:rsid w:val="BFFF2688"/>
    <w:rsid w:val="C7BBEE8B"/>
    <w:rsid w:val="C7FF7BA6"/>
    <w:rsid w:val="CCFE59A4"/>
    <w:rsid w:val="CEF5E032"/>
    <w:rsid w:val="CEFB3713"/>
    <w:rsid w:val="CF8F38E7"/>
    <w:rsid w:val="CFCD2ACE"/>
    <w:rsid w:val="CFF7BEE0"/>
    <w:rsid w:val="CFFF6DC8"/>
    <w:rsid w:val="CFFF7263"/>
    <w:rsid w:val="D1D32E8E"/>
    <w:rsid w:val="D32FCAAB"/>
    <w:rsid w:val="D5BFC7AB"/>
    <w:rsid w:val="D66FFDF0"/>
    <w:rsid w:val="D6BB110E"/>
    <w:rsid w:val="D6FE2F3F"/>
    <w:rsid w:val="D78BE8A3"/>
    <w:rsid w:val="D7B739A0"/>
    <w:rsid w:val="D7D3E638"/>
    <w:rsid w:val="D7D3FAD9"/>
    <w:rsid w:val="D7EDD3C5"/>
    <w:rsid w:val="D7FB1B04"/>
    <w:rsid w:val="D89B2A04"/>
    <w:rsid w:val="D8DDA242"/>
    <w:rsid w:val="D9B746DC"/>
    <w:rsid w:val="D9FB2D78"/>
    <w:rsid w:val="DBEA59F1"/>
    <w:rsid w:val="DBF28F79"/>
    <w:rsid w:val="DBFB5C2D"/>
    <w:rsid w:val="DCF47AF3"/>
    <w:rsid w:val="DD738447"/>
    <w:rsid w:val="DDDBEFDA"/>
    <w:rsid w:val="DDEFCA96"/>
    <w:rsid w:val="DE6DB783"/>
    <w:rsid w:val="DE7F2E25"/>
    <w:rsid w:val="DEDD68A1"/>
    <w:rsid w:val="DEE3E1A5"/>
    <w:rsid w:val="DEF7AF93"/>
    <w:rsid w:val="DF1960D4"/>
    <w:rsid w:val="DF2FE7B5"/>
    <w:rsid w:val="DF4593AF"/>
    <w:rsid w:val="DF559B5E"/>
    <w:rsid w:val="DF737B6B"/>
    <w:rsid w:val="DF7EE745"/>
    <w:rsid w:val="DFAADD0A"/>
    <w:rsid w:val="DFBD42FB"/>
    <w:rsid w:val="DFEFD79F"/>
    <w:rsid w:val="DFF62DB9"/>
    <w:rsid w:val="DFF7A407"/>
    <w:rsid w:val="DFF7E9E8"/>
    <w:rsid w:val="DFFAC6FC"/>
    <w:rsid w:val="DFFBD067"/>
    <w:rsid w:val="DFFDCDF2"/>
    <w:rsid w:val="DFFEC483"/>
    <w:rsid w:val="DFFF0521"/>
    <w:rsid w:val="E1FF6B4A"/>
    <w:rsid w:val="E27FA0E2"/>
    <w:rsid w:val="E3E7702F"/>
    <w:rsid w:val="E3FAAAEB"/>
    <w:rsid w:val="E5F52A48"/>
    <w:rsid w:val="E5FA76D9"/>
    <w:rsid w:val="E6FE6BD7"/>
    <w:rsid w:val="E75E0BD2"/>
    <w:rsid w:val="E7DB2F65"/>
    <w:rsid w:val="E7E7B957"/>
    <w:rsid w:val="E7E94B81"/>
    <w:rsid w:val="E93EB176"/>
    <w:rsid w:val="E99FBE0B"/>
    <w:rsid w:val="E9BF7120"/>
    <w:rsid w:val="E9DDD057"/>
    <w:rsid w:val="E9F71EFB"/>
    <w:rsid w:val="EAEDA4DE"/>
    <w:rsid w:val="EAFA0FCC"/>
    <w:rsid w:val="EBB53D24"/>
    <w:rsid w:val="EBFD19F9"/>
    <w:rsid w:val="ECDF9A47"/>
    <w:rsid w:val="ED76B02C"/>
    <w:rsid w:val="ED8FFEF5"/>
    <w:rsid w:val="EDBEDE18"/>
    <w:rsid w:val="EDDF1141"/>
    <w:rsid w:val="EDEF8704"/>
    <w:rsid w:val="EDF02D54"/>
    <w:rsid w:val="EDFF46F5"/>
    <w:rsid w:val="EE2E6C9B"/>
    <w:rsid w:val="EECEFE48"/>
    <w:rsid w:val="EEF64E48"/>
    <w:rsid w:val="EEF76BFB"/>
    <w:rsid w:val="EEFFC8B1"/>
    <w:rsid w:val="EF1BCB22"/>
    <w:rsid w:val="EF3FEBE4"/>
    <w:rsid w:val="EF6BA892"/>
    <w:rsid w:val="EF7FD278"/>
    <w:rsid w:val="EF9FDA85"/>
    <w:rsid w:val="EFA61026"/>
    <w:rsid w:val="EFB600CC"/>
    <w:rsid w:val="EFDF01F8"/>
    <w:rsid w:val="EFE6ECFC"/>
    <w:rsid w:val="EFE771CC"/>
    <w:rsid w:val="EFF782FB"/>
    <w:rsid w:val="EFFA3EE5"/>
    <w:rsid w:val="EFFF5B93"/>
    <w:rsid w:val="EFFFAA9B"/>
    <w:rsid w:val="EFFFE867"/>
    <w:rsid w:val="F1FDAC42"/>
    <w:rsid w:val="F24B09E6"/>
    <w:rsid w:val="F33B3C5E"/>
    <w:rsid w:val="F34F8F33"/>
    <w:rsid w:val="F35FD65B"/>
    <w:rsid w:val="F3B6C4E8"/>
    <w:rsid w:val="F3B7252E"/>
    <w:rsid w:val="F3DFC792"/>
    <w:rsid w:val="F3EAD5C1"/>
    <w:rsid w:val="F59888D6"/>
    <w:rsid w:val="F5CA79B4"/>
    <w:rsid w:val="F5F71886"/>
    <w:rsid w:val="F5F924CC"/>
    <w:rsid w:val="F5FE487F"/>
    <w:rsid w:val="F619EDFA"/>
    <w:rsid w:val="F63C00F6"/>
    <w:rsid w:val="F6CFEE84"/>
    <w:rsid w:val="F6FE2D54"/>
    <w:rsid w:val="F77DE027"/>
    <w:rsid w:val="F7A78C67"/>
    <w:rsid w:val="F7EF44B7"/>
    <w:rsid w:val="F7EF70D9"/>
    <w:rsid w:val="F7FA1278"/>
    <w:rsid w:val="F7FABE3C"/>
    <w:rsid w:val="F7FBAEBE"/>
    <w:rsid w:val="F89E48F2"/>
    <w:rsid w:val="F8BFCC14"/>
    <w:rsid w:val="F8E728CC"/>
    <w:rsid w:val="F8FFAB32"/>
    <w:rsid w:val="F96FD9B8"/>
    <w:rsid w:val="F9C5C791"/>
    <w:rsid w:val="F9DF745F"/>
    <w:rsid w:val="F9FB5CAC"/>
    <w:rsid w:val="FA2EA89B"/>
    <w:rsid w:val="FAF72404"/>
    <w:rsid w:val="FAFBD93A"/>
    <w:rsid w:val="FAFEE55A"/>
    <w:rsid w:val="FB3E1552"/>
    <w:rsid w:val="FB6D49DD"/>
    <w:rsid w:val="FB6E079A"/>
    <w:rsid w:val="FB73ABDE"/>
    <w:rsid w:val="FB75DF27"/>
    <w:rsid w:val="FB77E818"/>
    <w:rsid w:val="FB7E255A"/>
    <w:rsid w:val="FBD306EB"/>
    <w:rsid w:val="FBDEB854"/>
    <w:rsid w:val="FBED89B6"/>
    <w:rsid w:val="FBEF0A3C"/>
    <w:rsid w:val="FBEFB3C1"/>
    <w:rsid w:val="FBFC8A57"/>
    <w:rsid w:val="FBFC99FC"/>
    <w:rsid w:val="FBFE7F1E"/>
    <w:rsid w:val="FBFF2F91"/>
    <w:rsid w:val="FC45E45C"/>
    <w:rsid w:val="FCBFFD5C"/>
    <w:rsid w:val="FCF6BCC0"/>
    <w:rsid w:val="FCFF330D"/>
    <w:rsid w:val="FD6ED48B"/>
    <w:rsid w:val="FD776E14"/>
    <w:rsid w:val="FD9B9B5E"/>
    <w:rsid w:val="FD9CE9F0"/>
    <w:rsid w:val="FDDD8C9F"/>
    <w:rsid w:val="FDDF2EF2"/>
    <w:rsid w:val="FDDFDAFC"/>
    <w:rsid w:val="FDEE15ED"/>
    <w:rsid w:val="FDFB2796"/>
    <w:rsid w:val="FDFE5C10"/>
    <w:rsid w:val="FE2F3771"/>
    <w:rsid w:val="FE675DAF"/>
    <w:rsid w:val="FE734873"/>
    <w:rsid w:val="FE7F6307"/>
    <w:rsid w:val="FEB7F8DF"/>
    <w:rsid w:val="FEBF7968"/>
    <w:rsid w:val="FEBFC87B"/>
    <w:rsid w:val="FEBFD283"/>
    <w:rsid w:val="FED6E7A4"/>
    <w:rsid w:val="FEDE9870"/>
    <w:rsid w:val="FEF6B538"/>
    <w:rsid w:val="FEFAE655"/>
    <w:rsid w:val="FEFFA6C2"/>
    <w:rsid w:val="FF3701DD"/>
    <w:rsid w:val="FF4EBFA9"/>
    <w:rsid w:val="FF575D16"/>
    <w:rsid w:val="FF5DA042"/>
    <w:rsid w:val="FF5FEEE1"/>
    <w:rsid w:val="FF6FB375"/>
    <w:rsid w:val="FF7198C6"/>
    <w:rsid w:val="FF76B109"/>
    <w:rsid w:val="FF7AA987"/>
    <w:rsid w:val="FF7BA860"/>
    <w:rsid w:val="FF7F8987"/>
    <w:rsid w:val="FF9CB9AE"/>
    <w:rsid w:val="FFABD316"/>
    <w:rsid w:val="FFAF3E74"/>
    <w:rsid w:val="FFB79200"/>
    <w:rsid w:val="FFB9BB01"/>
    <w:rsid w:val="FFBD46BC"/>
    <w:rsid w:val="FFBDE9AC"/>
    <w:rsid w:val="FFBE472D"/>
    <w:rsid w:val="FFBEA076"/>
    <w:rsid w:val="FFBFB5FA"/>
    <w:rsid w:val="FFCEB320"/>
    <w:rsid w:val="FFDD2999"/>
    <w:rsid w:val="FFDEF381"/>
    <w:rsid w:val="FFE3918A"/>
    <w:rsid w:val="FFE80617"/>
    <w:rsid w:val="FFEF6922"/>
    <w:rsid w:val="FFEF8779"/>
    <w:rsid w:val="FFF3E4D2"/>
    <w:rsid w:val="FFF7DD94"/>
    <w:rsid w:val="FFF98D1B"/>
    <w:rsid w:val="FFFAC590"/>
    <w:rsid w:val="FFFD2C14"/>
    <w:rsid w:val="FFFDB078"/>
    <w:rsid w:val="FFFDCEAA"/>
    <w:rsid w:val="FFFDE581"/>
    <w:rsid w:val="FFFEEB6F"/>
    <w:rsid w:val="FFFF49D1"/>
    <w:rsid w:val="FFFF984A"/>
    <w:rsid w:val="FFFF9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semiHidden/>
    <w:qFormat/>
    <w:uiPriority w:val="0"/>
    <w:pPr>
      <w:spacing w:after="120"/>
      <w:ind w:left="420" w:leftChars="200" w:firstLine="420" w:firstLineChars="200"/>
      <w:jc w:val="both"/>
      <w:textAlignment w:val="baseline"/>
    </w:pPr>
    <w:rPr>
      <w:rFonts w:ascii="Times New Roman" w:hAnsi="Times New Roman" w:eastAsia="仿宋_GB2312" w:cs="Times New Roman"/>
      <w:kern w:val="2"/>
      <w:sz w:val="32"/>
      <w:szCs w:val="32"/>
      <w:lang w:val="en-US" w:eastAsia="zh-CN" w:bidi="ar-SA"/>
    </w:rPr>
  </w:style>
  <w:style w:type="paragraph" w:styleId="3">
    <w:name w:val="Body Text"/>
    <w:basedOn w:val="1"/>
    <w:next w:val="4"/>
    <w:qFormat/>
    <w:uiPriority w:val="0"/>
    <w:pPr>
      <w:widowControl w:val="0"/>
      <w:snapToGrid/>
      <w:spacing w:after="0"/>
      <w:jc w:val="center"/>
    </w:pPr>
    <w:rPr>
      <w:rFonts w:ascii="方正小标宋_GBK" w:hAnsi="Times New Roman" w:eastAsia="方正小标宋_GBK" w:cs="方正小标宋_GBK"/>
      <w:b/>
      <w:bCs/>
      <w:snapToGrid/>
      <w:kern w:val="2"/>
      <w:sz w:val="36"/>
      <w:szCs w:val="24"/>
      <w:lang w:val="en-US" w:eastAsia="zh-CN" w:bidi="ar-SA"/>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alloon Text"/>
    <w:basedOn w:val="1"/>
    <w:link w:val="13"/>
    <w:semiHidden/>
    <w:qFormat/>
    <w:uiPriority w:val="99"/>
    <w:rPr>
      <w:rFonts w:ascii="Calibri" w:hAnsi="Calibri" w:eastAsia="宋体" w:cs="Calibri"/>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qFormat/>
    <w:uiPriority w:val="0"/>
    <w:rPr>
      <w:i/>
    </w:rPr>
  </w:style>
  <w:style w:type="character" w:customStyle="1" w:styleId="11">
    <w:name w:val="页眉 Char"/>
    <w:basedOn w:val="9"/>
    <w:link w:val="7"/>
    <w:qFormat/>
    <w:uiPriority w:val="99"/>
    <w:rPr>
      <w:sz w:val="18"/>
      <w:szCs w:val="18"/>
    </w:rPr>
  </w:style>
  <w:style w:type="character" w:customStyle="1" w:styleId="12">
    <w:name w:val="页脚 Char"/>
    <w:basedOn w:val="9"/>
    <w:link w:val="6"/>
    <w:qFormat/>
    <w:uiPriority w:val="99"/>
    <w:rPr>
      <w:sz w:val="18"/>
      <w:szCs w:val="18"/>
    </w:rPr>
  </w:style>
  <w:style w:type="character" w:customStyle="1" w:styleId="13">
    <w:name w:val="批注框文本 Char"/>
    <w:basedOn w:val="9"/>
    <w:link w:val="5"/>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52</Pages>
  <Words>3893</Words>
  <Characters>22196</Characters>
  <Lines>184</Lines>
  <Paragraphs>52</Paragraphs>
  <TotalTime>1</TotalTime>
  <ScaleCrop>false</ScaleCrop>
  <LinksUpToDate>false</LinksUpToDate>
  <CharactersWithSpaces>26037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2020-01-25T01:25:00Z</dcterms:created>
  <dc:creator>胡蕴桐</dc:creator>
  <cp:lastModifiedBy> </cp:lastModifiedBy>
  <cp:lastPrinted>2024-01-24T09:36:00Z</cp:lastPrinted>
  <dcterms:modified xsi:type="dcterms:W3CDTF">2024-03-13T14:51:48Z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