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FFFF"/>
          <w:spacing w:val="23"/>
          <w:w w:val="66"/>
          <w:sz w:val="90"/>
          <w:szCs w:val="90"/>
        </w:rPr>
      </w:pPr>
    </w:p>
    <w:p>
      <w:pPr>
        <w:jc w:val="both"/>
        <w:rPr>
          <w:rFonts w:hint="eastAsia" w:ascii="方正小标宋简体" w:eastAsia="方正小标宋简体"/>
          <w:color w:val="FF0000"/>
          <w:spacing w:val="23"/>
          <w:w w:val="66"/>
          <w:sz w:val="90"/>
          <w:szCs w:val="90"/>
        </w:rPr>
      </w:pPr>
      <w:r>
        <w:rPr>
          <w:rFonts w:hint="eastAsia" w:ascii="方正小标宋简体" w:eastAsia="方正小标宋简体"/>
          <w:color w:val="FFFFFF"/>
          <w:spacing w:val="23"/>
          <w:w w:val="66"/>
          <w:sz w:val="90"/>
          <w:szCs w:val="90"/>
        </w:rPr>
        <w:t>北京市粮食和物资储备局文件</w:t>
      </w:r>
    </w:p>
    <w:p>
      <w:pPr>
        <w:spacing w:line="510" w:lineRule="exact"/>
        <w:rPr>
          <w:rFonts w:hint="eastAsia" w:eastAsia="仿宋_GB2312"/>
          <w:sz w:val="32"/>
        </w:rPr>
      </w:pPr>
    </w:p>
    <w:p>
      <w:pPr>
        <w:spacing w:line="620" w:lineRule="exact"/>
        <w:jc w:val="center"/>
        <w:rPr>
          <w:rFonts w:hint="eastAsia" w:ascii="仿宋_GB2312" w:eastAsia="仿宋_GB2312"/>
          <w:sz w:val="32"/>
        </w:rPr>
      </w:pPr>
      <w:bookmarkStart w:id="0" w:name="docsendnum"/>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rPr>
      </w:pPr>
      <w:r>
        <w:rPr>
          <w:rFonts w:hint="eastAsia" w:ascii="仿宋_GB2312" w:eastAsia="仿宋_GB2312"/>
          <w:sz w:val="32"/>
        </w:rPr>
        <w:t>京粮发〔</w:t>
      </w:r>
      <w:r>
        <w:rPr>
          <w:rFonts w:hint="eastAsia" w:ascii="仿宋_GB2312" w:eastAsia="仿宋_GB2312"/>
          <w:sz w:val="32"/>
          <w:lang w:val="en-US" w:eastAsia="zh-CN"/>
        </w:rPr>
        <w:t>2022</w:t>
      </w:r>
      <w:r>
        <w:rPr>
          <w:rFonts w:hint="eastAsia" w:ascii="仿宋_GB2312" w:eastAsia="仿宋_GB2312"/>
          <w:sz w:val="32"/>
        </w:rPr>
        <w:t>〕</w:t>
      </w:r>
      <w:r>
        <w:rPr>
          <w:rFonts w:hint="eastAsia" w:ascii="仿宋_GB2312" w:eastAsia="仿宋_GB2312"/>
          <w:sz w:val="32"/>
          <w:lang w:val="en-US" w:eastAsia="zh-CN"/>
        </w:rPr>
        <w:t>66</w:t>
      </w:r>
      <w:r>
        <w:rPr>
          <w:rFonts w:hint="eastAsia" w:ascii="仿宋_GB2312" w:eastAsia="仿宋_GB2312"/>
          <w:sz w:val="32"/>
        </w:rPr>
        <w:t>号</w:t>
      </w:r>
      <w:bookmarkEnd w:id="0"/>
    </w:p>
    <w:p>
      <w:pPr>
        <w:rPr>
          <w:rFonts w:hint="eastAsia"/>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1" w:name="mainDelivery"/>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粮食和物资储备</w:t>
      </w:r>
      <w:r>
        <w:rPr>
          <w:rFonts w:hint="eastAsia" w:ascii="方正小标宋简体" w:hAnsi="方正小标宋简体" w:eastAsia="方正小标宋简体" w:cs="方正小标宋简体"/>
          <w:sz w:val="44"/>
          <w:szCs w:val="44"/>
        </w:rPr>
        <w:t>局关于</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lang w:val="en-US" w:eastAsia="zh-CN"/>
        </w:rPr>
        <w:t>北京市粮食领域不予行政处罚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事项清单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kinsoku/>
        <w:wordWrap/>
        <w:overflowPunct/>
        <w:topLinePunct w:val="0"/>
        <w:autoSpaceDE/>
        <w:autoSpaceDN/>
        <w:bidi w:val="0"/>
        <w:spacing w:line="560" w:lineRule="exact"/>
        <w:textAlignment w:val="auto"/>
        <w:rPr>
          <w:rFonts w:hint="eastAsia" w:ascii="楷体" w:hAnsi="楷体" w:eastAsia="楷体"/>
          <w:szCs w:val="32"/>
        </w:rPr>
      </w:pPr>
    </w:p>
    <w:p>
      <w:pPr>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各区商务局（粮食和物资储备局）、市场监督管理局：</w:t>
      </w:r>
    </w:p>
    <w:bookmarkEnd w:id="1"/>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创新行政执法方式，推进包容审慎监管，优化营商环境，根据《中华人民共和国行政处罚法》《北京市法治政府建设实施意见（2021-2025年）》《关于印发&lt;关于全面推广轻微违法免罚和初次违法慎罚制度指导意见&gt;的通知》（京依法行政办发〔2022〕2号）等有关规定，结合实际，制定《北京市粮食领域不予行政处罚事项清单》（以下简称《免罚清单》），经北京市粮食和物资储备局2022年12月30日</w:t>
      </w:r>
      <w:r>
        <w:rPr>
          <w:rFonts w:hint="eastAsia" w:ascii="仿宋_GB2312" w:hAnsi="仿宋_GB2312" w:eastAsia="仿宋_GB2312" w:cs="仿宋_GB2312"/>
          <w:b w:val="0"/>
          <w:bCs w:val="0"/>
          <w:sz w:val="32"/>
          <w:szCs w:val="32"/>
          <w:highlight w:val="none"/>
          <w:lang w:val="en-US" w:eastAsia="zh-CN"/>
        </w:rPr>
        <w:t>第38次</w:t>
      </w:r>
      <w:r>
        <w:rPr>
          <w:rFonts w:hint="eastAsia" w:ascii="仿宋_GB2312" w:hAnsi="仿宋_GB2312" w:eastAsia="仿宋_GB2312" w:cs="仿宋_GB2312"/>
          <w:b w:val="0"/>
          <w:bCs w:val="0"/>
          <w:sz w:val="32"/>
          <w:szCs w:val="32"/>
          <w:lang w:val="en-US" w:eastAsia="zh-CN"/>
        </w:rPr>
        <w:t>局长办公会议审议通过，现印发给你们，并就有关事项通知如下：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坚持教育与惩戒相结合。广泛运用说服教育，指导约谈等方式，教育、引导、督促当事人依法合规开展生产经营活动，自觉提升法律意识和主体责任意识。依法不予处罚的，应当责令当事人立即或限期改正违法行为，当事人拒不改正或者改正后再犯的，结合违法的情节、危害程度，依法处罚，努力做到宽严相济、法理相融，让执法既有力度又有温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highlight w:val="none"/>
          <w:lang w:val="en-US" w:eastAsia="zh-CN"/>
        </w:rPr>
        <w:t>严格工作程序，规范实施不予行政处罚。</w:t>
      </w:r>
      <w:r>
        <w:rPr>
          <w:rFonts w:hint="eastAsia" w:ascii="仿宋_GB2312" w:hAnsi="仿宋_GB2312" w:eastAsia="仿宋_GB2312" w:cs="仿宋_GB2312"/>
          <w:b w:val="0"/>
          <w:bCs w:val="0"/>
          <w:sz w:val="32"/>
          <w:szCs w:val="32"/>
          <w:lang w:val="en-US" w:eastAsia="zh-CN"/>
        </w:rPr>
        <w:t>按照行政执法全过程记录制度的要求，做好现场检查笔录。除当事人立即主动改正外，应当向当事人制发限期责令改正通知书。符合适用条件不予行政处罚的，应当制发不予行政处罚决定书。按要求做好当事人改正情况及相关审批材料等案卷卷宗的整理归档工作，确保有据可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三、施行日期。本通知自2023年1月10日起施行。施行前发生但尚未处罚的轻微违法行为和初次违法行为适用《免罚清单》。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北京市粮食和物资储备局</w:t>
      </w:r>
    </w:p>
    <w:p>
      <w:pPr>
        <w:pStyle w:val="2"/>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bookmarkStart w:id="2" w:name="_GoBack"/>
      <w:bookmarkEnd w:id="2"/>
      <w:r>
        <w:rPr>
          <w:rFonts w:hint="eastAsia" w:ascii="仿宋_GB2312" w:hAnsi="仿宋_GB2312" w:eastAsia="仿宋_GB2312" w:cs="仿宋_GB2312"/>
          <w:b w:val="0"/>
          <w:bCs w:val="0"/>
          <w:sz w:val="32"/>
          <w:szCs w:val="32"/>
          <w:lang w:val="en-US" w:eastAsia="zh-CN"/>
        </w:rPr>
        <w:t>2022年12月30日</w:t>
      </w: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bidi w:val="0"/>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20320</wp:posOffset>
                </wp:positionV>
                <wp:extent cx="55435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6pt;margin-top:1.6pt;height:0pt;width:436.5pt;z-index:251660288;mso-width-relative:page;mso-height-relative:page;" filled="f" stroked="t" coordsize="21600,21600" o:gfxdata="UEsFBgAAAAAAAAAAAAAAAAAAAAAAAFBLAwQKAAAAAACHTuJAAAAAAAAAAAAAAAAABAAAAGRycy9Q&#10;SwMEFAAAAAgAh07iQPfWdkbWAAAABgEAAA8AAABkcnMvZG93bnJldi54bWxNj81OwzAQhO9IvIO1&#10;SNxap0G0UYjTA6iqQFzaInHdJts4JV6nsfvD27NwKafVaEaz3xTzi+vUiYbQejYwGSegiCtft9wY&#10;+NgsRhmoEJFr7DyTgW8KMC9vbwrMa3/mFZ3WsVFSwiFHAzbGPtc6VJYchrHvicXb+cFhFDk0uh7w&#10;LOWu02mSTLXDluWDxZ6eLVVf66MzgC/LVfzM0rdZ+2rf95vFYWmzgzH3d5PkCVSkS7yG4Rdf0KEU&#10;pq0/ch1UZ2A0SyVp4EGO2Nn0UZZs/7QuC/0fv/wBUEsDBBQAAAAIAIdO4kDH/xD23AEAAJoDAAAO&#10;AAAAZHJzL2Uyb0RvYy54bWytU82O0zAQviPxDpbvNNlAAUVN97BluSCoBDzA1HYSS/7T2G3al+AF&#10;kLjBiSN33oblMRi73S4/F4TIYTL2jD/P9+XL4nJvDdspjNq7jl/Mas6UE15qN3T87ZvrB085iwmc&#10;BOOd6vhBRX65vH9vMYVWNX70RipkBOJiO4WOjymFtqqiGJWFOPNBOSr2Hi0kWuJQSYSJ0K2pmrp+&#10;XE0eZUAvVIy0uzoW+bLg970S6VXfR5WY6TjNlkrEEjc5VssFtANCGLU4jQH/MIUF7ejSM9QKErAt&#10;6j+grBboo+/TTHhb+b7XQhUOxOai/o3N6xGCKlxInBjOMsX/Byte7tbItOx4w5kDS5/o5v2Xb+8+&#10;fv/6geLN50+sySJNIbbUe+XWeFrFsMbMeN+jzW/iwvZF2MNZWLVPTNDmfP7o4XxO+ovbWnV3MGBM&#10;z5W3LCcdN9plztDC7kVMdBm13rbkbePYRE5rntQZD8gzvYFEqQ3EIrqhHI7eaHmtjclHIg6bK4Ns&#10;B9kF5cmcCPiXtnzLCuJ47Culoz9GBfKZkywdAunjyMg8z2CV5Mwo8n3OCBDaBNr8TSddbRxNkGU9&#10;CpmzjZcH+hrbgHoYSYqEW1UGzUUyQBn5ZNbssJ/XBezul1r+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fWdkbWAAAABgEAAA8AAAAAAAAAAQAgAAAAOAAAAGRycy9kb3ducmV2LnhtbFBLAQIUABQA&#10;AAAIAIdO4kDH/xD23AEAAJoDAAAOAAAAAAAAAAEAIAAAADsBAABkcnMvZTJvRG9jLnhtbFBLBQYA&#10;AAAABgAGAFkBAACJ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抄送：机关各处室。</w:t>
      </w:r>
    </w:p>
    <w:p>
      <w:pPr>
        <w:ind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5080</wp:posOffset>
                </wp:positionV>
                <wp:extent cx="55435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2pt;margin-top:0.4pt;height:0pt;width:436.5pt;z-index:251659264;mso-width-relative:page;mso-height-relative:page;" filled="f" stroked="t" coordsize="21600,21600" o:gfxdata="UEsFBgAAAAAAAAAAAAAAAAAAAAAAAFBLAwQKAAAAAACHTuJAAAAAAAAAAAAAAAAABAAAAGRycy9Q&#10;SwMEFAAAAAgAh07iQFCnXhPTAAAABAEAAA8AAABkcnMvZG93bnJldi54bWxNjk1PwzAQRO9I/Adr&#10;kbi1TqsqWCFOD6CqAnFpi8R1myxxIF6nsfvBv2d7guNoRm9eubz4Xp1ojF1gC7NpBoq4Dk3HrYX3&#10;3WpiQMWE3GAfmCz8UIRldXtTYtGEM2/otE2tEgjHAi24lIZC61g78hinYSCW7jOMHpPEsdXNiGeB&#10;+17PsyzXHjuWB4cDPTmqv7dHbwGf15v0YeavD92Le/varQ5rZw7W3t/NskdQiS7pbwxXfVGHSpz2&#10;4chNVL2FiVnI0oL4S2vyRQ5qf426KvV/+eoXUEsDBBQAAAAIAIdO4kDwaFXh3AEAAJoDAAAOAAAA&#10;ZHJzL2Uyb0RvYy54bWytU0uOEzEQ3SNxB8t70j2BBNRKZxYThg2CSMABKra725J/cjnp5BJcAIkd&#10;rFiy5zYzHIOyk8nw2SBEL6rLrvJzvdevF5d7a9hORdTetfxiUnOmnPBSu77l795eP3rGGSZwEox3&#10;quUHhfxy+fDBYgyNmvrBG6kiIxCHzRhaPqQUmqpCMSgLOPFBOSp2PlpItIx9JSOMhG5NNa3reTX6&#10;KEP0QiHS7upY5MuC33VKpNddhyox03KaLZUYS9zkWC0X0PQRwqDFaQz4hyksaEeXnqFWkIBto/4D&#10;ymoRPfouTYS3le86LVThQGwu6t/YvBkgqMKFxMFwlgn/H6x4tVtHpmXL55w5sPSJbj98vXn/6fu3&#10;jxRvv3xm8yzSGLCh3iu3jqcVhnXMjPddtPlNXNi+CHs4C6v2iQnanM2ePJ7NSH9xV6vuD4aI6YXy&#10;luWk5Ua7zBka2L3ERJdR611L3jaOjeS06dM64wF5pjOQKLWBWKDry2H0RstrbUw+grHfXJnIdpBd&#10;UJ7MiYB/acu3rACHY18pHf0xKJDPnWTpEEgfR0bmeQarJGdGke9zRoDQJNDmbzrpauNogizrUcic&#10;bbw80NfYhqj7gaRIcavKoLlIBigjn8yaHfbzuoDd/1L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CnXhPTAAAABAEAAA8AAAAAAAAAAQAgAAAAOAAAAGRycy9kb3ducmV2LnhtbFBLAQIUABQAAAAI&#10;AIdO4kDwaFXh3AEAAJoDAAAOAAAAAAAAAAEAIAAAADgBAABkcnMvZTJvRG9jLnhtbFBLBQYAAAAA&#10;BgAGAFkBAACG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355600</wp:posOffset>
                </wp:positionV>
                <wp:extent cx="55435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2pt;margin-top:28pt;height:0pt;width:436.5pt;z-index:251658240;mso-width-relative:page;mso-height-relative:page;" filled="f" stroked="t" coordsize="21600,21600" o:gfxdata="UEsFBgAAAAAAAAAAAAAAAAAAAAAAAFBLAwQKAAAAAACHTuJAAAAAAAAAAAAAAAAABAAAAGRycy9Q&#10;SwMEFAAAAAgAh07iQAOjxDfXAAAACAEAAA8AAABkcnMvZG93bnJldi54bWxNj81OwzAQhO9IvIO1&#10;SNxap1UJVhqnB1BVgbi0ReK6jbdxIF6nsfvD22PEoRx3ZjT7Tbm4uE6caAitZw2TcQaCuPam5UbD&#10;+3Y5UiBCRDbYeSYN3xRgUd3elFgYf+Y1nTaxEamEQ4EabIx9IWWoLTkMY98TJ2/vB4cxnUMjzYDn&#10;VO46Oc2yXDpsOX2w2NOTpfprc3Qa8Hm1jh9q+vrYvti3z+3ysLLqoPX93SSbg4h0idcw/OIndKgS&#10;084f2QTRaRipWUpqeMjTpOSrfJaD2P0Jsirl/wHVD1BLAwQUAAAACACHTuJANof6mdwBAACaAwAA&#10;DgAAAGRycy9lMm9Eb2MueG1srVPNjtMwEL4j8Q6W7zTZQgBFTfewZbkgqAQ8wNR2Ekv+09ht2pfg&#10;BZC4wYkjd96G5TEYu90uPxeEyGEy9ow/z/fly+Jybw3bKYzau45fzGrOlBNeajd0/O2b6wdPOYsJ&#10;nATjner4QUV+ubx/bzGFVs396I1UyAjExXYKHR9TCm1VRTEqC3Hmg3JU7D1aSLTEoZIIE6FbU83r&#10;+nE1eZQBvVAx0u7qWOTLgt/3SqRXfR9VYqbjNFsqEUvc5FgtF9AOCGHU4jQG/MMUFrSjS89QK0jA&#10;tqj/gLJaoI++TzPhbeX7XgtVOBCbi/o3Nq9HCKpwIXFiOMsU/x+seLlbI9Oy4w1nDix9opv3X769&#10;+/j96weKN58/sSaLNIXYUu+VW+NpFcMaM+N9jza/iQvbF2EPZ2HVPjFBm03z6GHTkP7itlbdHQwY&#10;03PlLctJx412mTO0sHsRE11Grbcteds4NpHT5k/qjAfkmd5AotQGYhHdUA5Hb7S81sbkIxGHzZVB&#10;toPsgvJkTgT8S1u+ZQVxPPaV0tEfowL5zEmWDoH0cWRknmewSnJmFPk+ZwQIbQJt/qaTrjaOJsiy&#10;HoXM2cbLA32NbUA9jCRFwq0qg+YiGaCMfDJrdtjP6wJ290s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Do8Q31wAAAAgBAAAPAAAAAAAAAAEAIAAAADgAAABkcnMvZG93bnJldi54bWxQSwECFAAU&#10;AAAACACHTuJANof6mdwBAACaAwAADgAAAAAAAAABACAAAAA8AQAAZHJzL2Uyb0RvYy54bWxQSwUG&#10;AAAAAAYABgBZAQAAigUAAAAA&#10;">
                <v:fill on="f" focussize="0,0"/>
                <v:stroke weight="1pt" color="#000000" joinstyle="round"/>
                <v:imagedata o:title=""/>
                <o:lock v:ext="edit" aspectratio="f"/>
              </v:line>
            </w:pict>
          </mc:Fallback>
        </mc:AlternateContent>
      </w:r>
      <w:r>
        <w:rPr>
          <w:rFonts w:hint="eastAsia" w:ascii="仿宋_GB2312" w:hAnsi="仿宋_GB2312" w:eastAsia="仿宋_GB2312" w:cs="仿宋_GB2312"/>
          <w:bCs/>
          <w:sz w:val="28"/>
          <w:szCs w:val="28"/>
        </w:rPr>
        <w:t>北京市粮食和物资储备局办公室         20</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highlight w:val="none"/>
          <w:lang w:val="en-US" w:eastAsia="zh-CN"/>
        </w:rPr>
        <w:t>12</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30</w:t>
      </w:r>
      <w:r>
        <w:rPr>
          <w:rFonts w:hint="eastAsia" w:ascii="仿宋_GB2312" w:hAnsi="仿宋_GB2312" w:eastAsia="仿宋_GB2312" w:cs="仿宋_GB2312"/>
          <w:bCs/>
          <w:sz w:val="28"/>
          <w:szCs w:val="28"/>
          <w:highlight w:val="none"/>
        </w:rPr>
        <w:t>日</w:t>
      </w:r>
      <w:r>
        <w:rPr>
          <w:rFonts w:hint="eastAsia" w:ascii="仿宋_GB2312" w:hAnsi="仿宋_GB2312" w:eastAsia="仿宋_GB2312" w:cs="仿宋_GB2312"/>
          <w:bCs/>
          <w:sz w:val="28"/>
          <w:szCs w:val="28"/>
        </w:rPr>
        <w:t>印发</w:t>
      </w:r>
    </w:p>
    <w:p>
      <w:pPr>
        <w:tabs>
          <w:tab w:val="left" w:pos="346"/>
        </w:tabs>
        <w:bidi w:val="0"/>
        <w:jc w:val="left"/>
        <w:rPr>
          <w:rFonts w:hint="eastAsia" w:ascii="仿宋_GB2312" w:hAnsi="仿宋_GB2312" w:eastAsia="仿宋_GB2312" w:cs="仿宋_GB2312"/>
          <w:lang w:eastAsia="zh-CN"/>
        </w:rPr>
        <w:sectPr>
          <w:footerReference r:id="rId3" w:type="default"/>
          <w:pgSz w:w="11906" w:h="16838"/>
          <w:pgMar w:top="1270" w:right="1689" w:bottom="1270" w:left="1689" w:header="851" w:footer="992" w:gutter="0"/>
          <w:pgNumType w:fmt="numberInDash"/>
          <w:cols w:space="720"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北京市粮食领域不予行政处罚事项清单</w:t>
      </w:r>
    </w:p>
    <w:tbl>
      <w:tblPr>
        <w:tblStyle w:val="8"/>
        <w:tblW w:w="14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307"/>
        <w:gridCol w:w="1607"/>
        <w:gridCol w:w="11"/>
        <w:gridCol w:w="4192"/>
        <w:gridCol w:w="3810"/>
        <w:gridCol w:w="210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4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序号</w:t>
            </w:r>
          </w:p>
        </w:tc>
        <w:tc>
          <w:tcPr>
            <w:tcW w:w="13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裁量基准编码</w:t>
            </w:r>
          </w:p>
        </w:tc>
        <w:tc>
          <w:tcPr>
            <w:tcW w:w="161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违法行为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名称</w:t>
            </w:r>
          </w:p>
        </w:tc>
        <w:tc>
          <w:tcPr>
            <w:tcW w:w="41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处罚依据</w:t>
            </w:r>
          </w:p>
        </w:tc>
        <w:tc>
          <w:tcPr>
            <w:tcW w:w="381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适用条件</w:t>
            </w:r>
          </w:p>
        </w:tc>
        <w:tc>
          <w:tcPr>
            <w:tcW w:w="21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管理措施</w:t>
            </w:r>
          </w:p>
        </w:tc>
        <w:tc>
          <w:tcPr>
            <w:tcW w:w="8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行使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442" w:type="dxa"/>
            <w:vMerge w:val="continue"/>
            <w:noWrap w:val="0"/>
            <w:vAlign w:val="top"/>
          </w:tcPr>
          <w:p>
            <w:pPr>
              <w:jc w:val="center"/>
            </w:pPr>
          </w:p>
        </w:tc>
        <w:tc>
          <w:tcPr>
            <w:tcW w:w="1307" w:type="dxa"/>
            <w:vMerge w:val="continue"/>
            <w:noWrap w:val="0"/>
            <w:vAlign w:val="top"/>
          </w:tcPr>
          <w:p>
            <w:pPr>
              <w:jc w:val="center"/>
            </w:pPr>
          </w:p>
        </w:tc>
        <w:tc>
          <w:tcPr>
            <w:tcW w:w="1618" w:type="dxa"/>
            <w:gridSpan w:val="2"/>
            <w:vMerge w:val="continue"/>
            <w:noWrap w:val="0"/>
            <w:vAlign w:val="top"/>
          </w:tcPr>
          <w:p>
            <w:pPr>
              <w:jc w:val="center"/>
            </w:pPr>
          </w:p>
        </w:tc>
        <w:tc>
          <w:tcPr>
            <w:tcW w:w="4192" w:type="dxa"/>
            <w:vMerge w:val="continue"/>
            <w:noWrap w:val="0"/>
            <w:vAlign w:val="top"/>
          </w:tcPr>
          <w:p>
            <w:pPr>
              <w:jc w:val="center"/>
            </w:pPr>
          </w:p>
        </w:tc>
        <w:tc>
          <w:tcPr>
            <w:tcW w:w="381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违法行为轻微并及时改正，</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没有造成危害后果</w:t>
            </w:r>
          </w:p>
        </w:tc>
        <w:tc>
          <w:tcPr>
            <w:tcW w:w="2106" w:type="dxa"/>
            <w:vMerge w:val="continue"/>
            <w:noWrap w:val="0"/>
            <w:vAlign w:val="top"/>
          </w:tcPr>
          <w:p>
            <w:pPr>
              <w:jc w:val="center"/>
              <w:rPr>
                <w:rFonts w:hint="eastAsia" w:ascii="方正黑体_GBK" w:hAnsi="方正黑体_GBK" w:eastAsia="方正黑体_GBK" w:cs="方正黑体_GBK"/>
                <w:kern w:val="0"/>
                <w:sz w:val="24"/>
                <w:szCs w:val="24"/>
                <w:lang w:val="en-US" w:eastAsia="zh-CN"/>
              </w:rPr>
            </w:pPr>
          </w:p>
        </w:tc>
        <w:tc>
          <w:tcPr>
            <w:tcW w:w="889" w:type="dxa"/>
            <w:vMerge w:val="continue"/>
            <w:noWrap w:val="0"/>
            <w:vAlign w:val="top"/>
          </w:tcPr>
          <w:p>
            <w:pPr>
              <w:jc w:val="center"/>
              <w:rPr>
                <w:rFonts w:hint="eastAsia" w:ascii="方正黑体_GBK" w:hAnsi="方正黑体_GBK" w:eastAsia="方正黑体_GBK" w:cs="方正黑体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C2600800</w:t>
            </w:r>
          </w:p>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kern w:val="0"/>
                <w:sz w:val="24"/>
                <w:szCs w:val="24"/>
                <w:lang w:val="en-US" w:eastAsia="zh-CN"/>
              </w:rPr>
              <w:t>B010</w:t>
            </w:r>
          </w:p>
        </w:tc>
        <w:tc>
          <w:tcPr>
            <w:tcW w:w="1618" w:type="dxa"/>
            <w:gridSpan w:val="2"/>
            <w:noWrap w:val="0"/>
            <w:vAlign w:val="center"/>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从事粮食收购、销售、储存、加工的粮食经营者以及饲料、工业用粮企业未建立粮食经营台账的行为。</w:t>
            </w:r>
          </w:p>
        </w:tc>
        <w:tc>
          <w:tcPr>
            <w:tcW w:w="4192" w:type="dxa"/>
            <w:noWrap w:val="0"/>
            <w:vAlign w:val="top"/>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《粮食流通管理条例》第四十五条第（五）项 有下列情形之一的，由粮食和储备行政管理部门责令改正，给予警告，可以并处20万元以下罚款；情节严重的，并处20万元以上50万元以下罚款：</w:t>
            </w:r>
          </w:p>
          <w:p>
            <w:pPr>
              <w:numPr>
                <w:ilvl w:val="0"/>
                <w:numId w:val="1"/>
              </w:numPr>
              <w:rPr>
                <w:rFonts w:hint="eastAsia"/>
                <w:lang w:val="en-US" w:eastAsia="zh-CN"/>
              </w:rPr>
            </w:pPr>
            <w:r>
              <w:rPr>
                <w:rFonts w:hint="eastAsia" w:ascii="仿宋_GB2312" w:hAnsi="仿宋_GB2312" w:eastAsia="仿宋_GB2312" w:cs="仿宋_GB2312"/>
                <w:sz w:val="24"/>
                <w:szCs w:val="24"/>
                <w:lang w:val="en-US" w:eastAsia="zh-CN"/>
              </w:rPr>
              <w:t>从事粮食收购、销售、储存、加工的粮食经营者以及饲料、工业用粮企业未建立粮食经营台账，或者未按照规定报送粮食基本数据和有关情况；</w:t>
            </w:r>
          </w:p>
        </w:tc>
        <w:tc>
          <w:tcPr>
            <w:tcW w:w="3810" w:type="dxa"/>
            <w:noWrap w:val="0"/>
            <w:vAlign w:val="top"/>
          </w:tcPr>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同时满足以下条件的：</w:t>
            </w:r>
          </w:p>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i w:val="0"/>
                <w:color w:val="000000"/>
                <w:kern w:val="0"/>
                <w:sz w:val="24"/>
                <w:szCs w:val="24"/>
                <w:u w:val="none"/>
                <w:lang w:val="en-US" w:eastAsia="zh-CN" w:bidi="ar"/>
              </w:rPr>
              <w:t>从事粮食收购、销售、储存、加工的粮食经营者以及饲料、工业用粮企业未建立粮食经营台账的</w:t>
            </w:r>
            <w:r>
              <w:rPr>
                <w:rFonts w:hint="eastAsia" w:ascii="仿宋_GB2312" w:hAnsi="仿宋_GB2312" w:eastAsia="仿宋_GB2312" w:cs="仿宋_GB2312"/>
                <w:sz w:val="24"/>
                <w:szCs w:val="24"/>
                <w:vertAlign w:val="baseline"/>
                <w:lang w:val="en-US" w:eastAsia="zh-CN"/>
              </w:rPr>
              <w:t>；</w:t>
            </w:r>
          </w:p>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）主动整改</w:t>
            </w:r>
            <w:r>
              <w:rPr>
                <w:rFonts w:hint="eastAsia" w:ascii="仿宋_GB2312" w:hAnsi="仿宋_GB2312" w:eastAsia="仿宋_GB2312" w:cs="仿宋_GB2312"/>
                <w:sz w:val="24"/>
                <w:szCs w:val="24"/>
              </w:rPr>
              <w:t>或在行政机关责令改正的期限内改正；</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）没有造成</w:t>
            </w:r>
            <w:r>
              <w:rPr>
                <w:rFonts w:hint="eastAsia" w:ascii="仿宋_GB2312" w:hAnsi="仿宋_GB2312" w:eastAsia="仿宋_GB2312" w:cs="仿宋_GB2312"/>
                <w:sz w:val="24"/>
                <w:szCs w:val="24"/>
              </w:rPr>
              <w:t>危害后果。</w:t>
            </w:r>
          </w:p>
          <w:p>
            <w:pPr>
              <w:rPr>
                <w:rFonts w:hint="eastAsia" w:ascii="仿宋_GB2312" w:hAnsi="仿宋_GB2312" w:eastAsia="仿宋_GB2312" w:cs="仿宋_GB2312"/>
                <w:sz w:val="24"/>
                <w:szCs w:val="24"/>
                <w:lang w:val="en-US" w:eastAsia="zh-CN"/>
              </w:rPr>
            </w:pPr>
          </w:p>
        </w:tc>
        <w:tc>
          <w:tcPr>
            <w:tcW w:w="2106"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对当事人的违法行为依法不予行政处罚的，行政机关应当对当事人进行教育、指导，</w:t>
            </w:r>
            <w:r>
              <w:rPr>
                <w:rFonts w:hint="eastAsia" w:ascii="仿宋_GB2312" w:hAnsi="仿宋_GB2312" w:eastAsia="仿宋_GB2312" w:cs="仿宋_GB2312"/>
                <w:sz w:val="24"/>
                <w:szCs w:val="24"/>
                <w:vertAlign w:val="baseline"/>
                <w:lang w:val="en-US" w:eastAsia="zh-CN"/>
              </w:rPr>
              <w:t>责令当事人立即或限期改正违法行为，签订《承诺书》，并</w:t>
            </w:r>
            <w:r>
              <w:rPr>
                <w:rFonts w:hint="eastAsia" w:ascii="仿宋_GB2312" w:hAnsi="仿宋_GB2312" w:eastAsia="仿宋_GB2312" w:cs="仿宋_GB2312"/>
                <w:sz w:val="24"/>
                <w:szCs w:val="24"/>
                <w:vertAlign w:val="baseline"/>
                <w:lang w:eastAsia="zh-CN"/>
              </w:rPr>
              <w:t>及时复查整改情况。</w:t>
            </w:r>
          </w:p>
        </w:tc>
        <w:tc>
          <w:tcPr>
            <w:tcW w:w="88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442"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C2602500</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B010</w:t>
            </w:r>
          </w:p>
        </w:tc>
        <w:tc>
          <w:tcPr>
            <w:tcW w:w="1618" w:type="dxa"/>
            <w:gridSpan w:val="2"/>
            <w:noWrap w:val="0"/>
            <w:vAlign w:val="center"/>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库存粮油情况发生变化的，粮油仓储单位未在5个工作日内更新库存粮油货位卡和有关帐目，确保账账相符、账实相符的行为。</w:t>
            </w:r>
          </w:p>
        </w:tc>
        <w:tc>
          <w:tcPr>
            <w:tcW w:w="4192" w:type="dxa"/>
            <w:noWrap w:val="0"/>
            <w:vAlign w:val="top"/>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3810" w:type="dxa"/>
            <w:noWrap w:val="0"/>
            <w:vAlign w:val="top"/>
          </w:tcPr>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同时满足以下条件的：</w:t>
            </w:r>
          </w:p>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库存粮油情况发生变化的，粮油仓储单位未在5个工作日内更新库存粮油货位卡和有关帐目，确保账账相符、账实相符的；</w:t>
            </w:r>
          </w:p>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）主动整改</w:t>
            </w:r>
            <w:r>
              <w:rPr>
                <w:rFonts w:hint="eastAsia" w:ascii="仿宋_GB2312" w:hAnsi="仿宋_GB2312" w:eastAsia="仿宋_GB2312" w:cs="仿宋_GB2312"/>
                <w:sz w:val="24"/>
                <w:szCs w:val="24"/>
              </w:rPr>
              <w:t>或在行政机关责令改正的期限内改正；</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）没有造成</w:t>
            </w:r>
            <w:r>
              <w:rPr>
                <w:rFonts w:hint="eastAsia" w:ascii="仿宋_GB2312" w:hAnsi="仿宋_GB2312" w:eastAsia="仿宋_GB2312" w:cs="仿宋_GB2312"/>
                <w:sz w:val="24"/>
                <w:szCs w:val="24"/>
              </w:rPr>
              <w:t>危害后果。</w:t>
            </w:r>
          </w:p>
        </w:tc>
        <w:tc>
          <w:tcPr>
            <w:tcW w:w="2106" w:type="dxa"/>
            <w:noWrap w:val="0"/>
            <w:vAlign w:val="top"/>
          </w:tcPr>
          <w:p>
            <w:pPr>
              <w:rPr>
                <w:rFonts w:hint="eastAsia"/>
                <w:lang w:eastAsia="zh-CN"/>
              </w:rPr>
            </w:pPr>
            <w:r>
              <w:rPr>
                <w:rFonts w:hint="eastAsia" w:ascii="仿宋_GB2312" w:hAnsi="仿宋_GB2312" w:eastAsia="仿宋_GB2312" w:cs="仿宋_GB2312"/>
                <w:sz w:val="24"/>
                <w:szCs w:val="24"/>
                <w:vertAlign w:val="baseline"/>
                <w:lang w:eastAsia="zh-CN"/>
              </w:rPr>
              <w:t>对当事人的违法行为依法不予行政处罚的，行政机关应当对当事人进行教育、指导，</w:t>
            </w:r>
            <w:r>
              <w:rPr>
                <w:rFonts w:hint="eastAsia" w:ascii="仿宋_GB2312" w:hAnsi="仿宋_GB2312" w:eastAsia="仿宋_GB2312" w:cs="仿宋_GB2312"/>
                <w:sz w:val="24"/>
                <w:szCs w:val="24"/>
                <w:vertAlign w:val="baseline"/>
                <w:lang w:val="en-US" w:eastAsia="zh-CN"/>
              </w:rPr>
              <w:t>责令当事人立即或限期改正违法行为，签订《承诺书》，并</w:t>
            </w:r>
            <w:r>
              <w:rPr>
                <w:rFonts w:hint="eastAsia" w:ascii="仿宋_GB2312" w:hAnsi="仿宋_GB2312" w:eastAsia="仿宋_GB2312" w:cs="仿宋_GB2312"/>
                <w:sz w:val="24"/>
                <w:szCs w:val="24"/>
                <w:vertAlign w:val="baseline"/>
                <w:lang w:eastAsia="zh-CN"/>
              </w:rPr>
              <w:t>及时复查整改情况。</w:t>
            </w:r>
          </w:p>
        </w:tc>
        <w:tc>
          <w:tcPr>
            <w:tcW w:w="88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44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序号</w:t>
            </w:r>
          </w:p>
        </w:tc>
        <w:tc>
          <w:tcPr>
            <w:tcW w:w="1307"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裁量基准编码</w:t>
            </w:r>
          </w:p>
        </w:tc>
        <w:tc>
          <w:tcPr>
            <w:tcW w:w="1607"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违法行为</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名称</w:t>
            </w:r>
          </w:p>
        </w:tc>
        <w:tc>
          <w:tcPr>
            <w:tcW w:w="4203"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处罚依据</w:t>
            </w:r>
          </w:p>
        </w:tc>
        <w:tc>
          <w:tcPr>
            <w:tcW w:w="3810" w:type="dxa"/>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适用条件</w:t>
            </w:r>
          </w:p>
        </w:tc>
        <w:tc>
          <w:tcPr>
            <w:tcW w:w="2106"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管理措施</w:t>
            </w:r>
          </w:p>
        </w:tc>
        <w:tc>
          <w:tcPr>
            <w:tcW w:w="88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行使</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kern w:val="0"/>
                <w:sz w:val="24"/>
                <w:szCs w:val="24"/>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442" w:type="dxa"/>
            <w:vMerge w:val="continue"/>
            <w:noWrap w:val="0"/>
            <w:vAlign w:val="top"/>
          </w:tcPr>
          <w:p>
            <w:pPr>
              <w:jc w:val="center"/>
            </w:pPr>
          </w:p>
        </w:tc>
        <w:tc>
          <w:tcPr>
            <w:tcW w:w="1307" w:type="dxa"/>
            <w:vMerge w:val="continue"/>
            <w:noWrap w:val="0"/>
            <w:vAlign w:val="top"/>
          </w:tcPr>
          <w:p>
            <w:pPr>
              <w:jc w:val="center"/>
            </w:pPr>
          </w:p>
        </w:tc>
        <w:tc>
          <w:tcPr>
            <w:tcW w:w="1607" w:type="dxa"/>
            <w:vMerge w:val="continue"/>
            <w:noWrap w:val="0"/>
            <w:vAlign w:val="top"/>
          </w:tcPr>
          <w:p>
            <w:pPr>
              <w:jc w:val="center"/>
            </w:pPr>
          </w:p>
        </w:tc>
        <w:tc>
          <w:tcPr>
            <w:tcW w:w="4203" w:type="dxa"/>
            <w:gridSpan w:val="2"/>
            <w:vMerge w:val="continue"/>
            <w:noWrap w:val="0"/>
            <w:vAlign w:val="top"/>
          </w:tcPr>
          <w:p>
            <w:pPr>
              <w:jc w:val="center"/>
            </w:pPr>
          </w:p>
        </w:tc>
        <w:tc>
          <w:tcPr>
            <w:tcW w:w="381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初次违法且危害后果轻微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并及时改正</w:t>
            </w:r>
          </w:p>
        </w:tc>
        <w:tc>
          <w:tcPr>
            <w:tcW w:w="2106" w:type="dxa"/>
            <w:vMerge w:val="continue"/>
            <w:noWrap w:val="0"/>
            <w:vAlign w:val="top"/>
          </w:tcPr>
          <w:p>
            <w:pPr>
              <w:jc w:val="center"/>
              <w:rPr>
                <w:rFonts w:hint="eastAsia" w:ascii="方正黑体_GBK" w:hAnsi="方正黑体_GBK" w:eastAsia="方正黑体_GBK" w:cs="方正黑体_GBK"/>
                <w:kern w:val="0"/>
                <w:sz w:val="24"/>
                <w:szCs w:val="24"/>
                <w:lang w:val="en-US" w:eastAsia="zh-CN"/>
              </w:rPr>
            </w:pPr>
          </w:p>
        </w:tc>
        <w:tc>
          <w:tcPr>
            <w:tcW w:w="889" w:type="dxa"/>
            <w:vMerge w:val="continue"/>
            <w:noWrap w:val="0"/>
            <w:vAlign w:val="top"/>
          </w:tcPr>
          <w:p>
            <w:pPr>
              <w:jc w:val="center"/>
              <w:rPr>
                <w:rFonts w:hint="eastAsia" w:ascii="方正黑体_GBK" w:hAnsi="方正黑体_GBK" w:eastAsia="方正黑体_GBK" w:cs="方正黑体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07"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C2600800</w:t>
            </w:r>
          </w:p>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kern w:val="0"/>
                <w:sz w:val="24"/>
                <w:szCs w:val="24"/>
                <w:lang w:val="en-US" w:eastAsia="zh-CN"/>
              </w:rPr>
              <w:t>B010</w:t>
            </w:r>
          </w:p>
        </w:tc>
        <w:tc>
          <w:tcPr>
            <w:tcW w:w="1607" w:type="dxa"/>
            <w:noWrap w:val="0"/>
            <w:vAlign w:val="center"/>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从事粮食收购、销售、储存、加工的粮食经营者以及饲料、工业用粮企业未建立粮食经营台账的行为。</w:t>
            </w:r>
          </w:p>
        </w:tc>
        <w:tc>
          <w:tcPr>
            <w:tcW w:w="4203" w:type="dxa"/>
            <w:gridSpan w:val="2"/>
            <w:noWrap w:val="0"/>
            <w:vAlign w:val="top"/>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《粮食流通管理条例》第四十五条第（五）项 有下列情形之一的，由粮食和储备行政管理部门责令改正，给予警告，可以并处20万元以下罚款；情节严重的，并处20万元以上50万元以下罚款：</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（五）从事粮食收购、销售、储存、加工的粮食经营者以及饲料、工业用粮企业未建立粮食经营台账，或者未按照规定报送粮食基本数据和有关情况；</w:t>
            </w:r>
          </w:p>
        </w:tc>
        <w:tc>
          <w:tcPr>
            <w:tcW w:w="3810" w:type="dxa"/>
            <w:noWrap w:val="0"/>
            <w:vAlign w:val="top"/>
          </w:tcPr>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同时满足以下条件的：</w:t>
            </w:r>
          </w:p>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无同一类违法行为的查处记录</w:t>
            </w:r>
            <w:r>
              <w:rPr>
                <w:rFonts w:hint="eastAsia" w:ascii="仿宋_GB2312" w:hAnsi="仿宋_GB2312" w:eastAsia="仿宋_GB2312" w:cs="仿宋_GB2312"/>
                <w:sz w:val="24"/>
                <w:szCs w:val="24"/>
                <w:lang w:val="en-US" w:eastAsia="zh-CN"/>
              </w:rPr>
              <w:t>；</w:t>
            </w:r>
          </w:p>
          <w:p>
            <w:pPr>
              <w:widowControl/>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i w:val="0"/>
                <w:color w:val="000000"/>
                <w:kern w:val="0"/>
                <w:sz w:val="24"/>
                <w:szCs w:val="24"/>
                <w:u w:val="none"/>
                <w:lang w:val="en-US" w:eastAsia="zh-CN" w:bidi="ar"/>
              </w:rPr>
              <w:t>从事粮食收购、销售、储存、加工的粮食经营者以及饲料、工业</w:t>
            </w:r>
            <w:r>
              <w:rPr>
                <w:rFonts w:hint="eastAsia" w:ascii="仿宋_GB2312" w:hAnsi="仿宋_GB2312" w:eastAsia="仿宋_GB2312" w:cs="仿宋_GB2312"/>
                <w:i w:val="0"/>
                <w:color w:val="000000"/>
                <w:w w:val="100"/>
                <w:kern w:val="0"/>
                <w:sz w:val="24"/>
                <w:szCs w:val="24"/>
                <w:u w:val="none"/>
                <w:lang w:val="en-US" w:eastAsia="zh-CN" w:bidi="ar"/>
              </w:rPr>
              <w:t>用粮企业未建立粮食经营台账的</w:t>
            </w:r>
            <w:r>
              <w:rPr>
                <w:rFonts w:hint="eastAsia" w:ascii="仿宋_GB2312" w:hAnsi="仿宋_GB2312" w:eastAsia="仿宋_GB2312" w:cs="仿宋_GB2312"/>
                <w:w w:val="100"/>
                <w:sz w:val="24"/>
                <w:szCs w:val="24"/>
                <w:vertAlign w:val="baseline"/>
                <w:lang w:val="en-US" w:eastAsia="zh-CN"/>
              </w:rPr>
              <w:t>；</w:t>
            </w:r>
          </w:p>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）主动整改</w:t>
            </w:r>
            <w:r>
              <w:rPr>
                <w:rFonts w:hint="eastAsia" w:ascii="仿宋_GB2312" w:hAnsi="仿宋_GB2312" w:eastAsia="仿宋_GB2312" w:cs="仿宋_GB2312"/>
                <w:sz w:val="24"/>
                <w:szCs w:val="24"/>
              </w:rPr>
              <w:t>或在行政机关责令改正的期限内改正；</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（4）危害后果轻微，未引发不良社会影响。</w:t>
            </w:r>
          </w:p>
        </w:tc>
        <w:tc>
          <w:tcPr>
            <w:tcW w:w="2106"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对当事人的违法行为依法不予行政处罚的，行政机关应当对当事人进行教育、指导，</w:t>
            </w:r>
            <w:r>
              <w:rPr>
                <w:rFonts w:hint="eastAsia" w:ascii="仿宋_GB2312" w:hAnsi="仿宋_GB2312" w:eastAsia="仿宋_GB2312" w:cs="仿宋_GB2312"/>
                <w:sz w:val="24"/>
                <w:szCs w:val="24"/>
                <w:vertAlign w:val="baseline"/>
                <w:lang w:val="en-US" w:eastAsia="zh-CN"/>
              </w:rPr>
              <w:t>责令当事人立即或限期改正违法行为，签订《承诺书》，并</w:t>
            </w:r>
            <w:r>
              <w:rPr>
                <w:rFonts w:hint="eastAsia" w:ascii="仿宋_GB2312" w:hAnsi="仿宋_GB2312" w:eastAsia="仿宋_GB2312" w:cs="仿宋_GB2312"/>
                <w:sz w:val="24"/>
                <w:szCs w:val="24"/>
                <w:vertAlign w:val="baseline"/>
                <w:lang w:eastAsia="zh-CN"/>
              </w:rPr>
              <w:t>及时复查整改情况。</w:t>
            </w:r>
          </w:p>
        </w:tc>
        <w:tc>
          <w:tcPr>
            <w:tcW w:w="88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市级、</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07"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C2602500</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B010</w:t>
            </w:r>
          </w:p>
        </w:tc>
        <w:tc>
          <w:tcPr>
            <w:tcW w:w="1607" w:type="dxa"/>
            <w:noWrap w:val="0"/>
            <w:vAlign w:val="center"/>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库存粮油情况发生变化的，粮油仓储单位未在5个工作日内更新库存粮油货位卡和有关帐目，确保账账相符、账实相符的行为。</w:t>
            </w:r>
          </w:p>
        </w:tc>
        <w:tc>
          <w:tcPr>
            <w:tcW w:w="4203" w:type="dxa"/>
            <w:gridSpan w:val="2"/>
            <w:noWrap w:val="0"/>
            <w:vAlign w:val="top"/>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3810" w:type="dxa"/>
            <w:noWrap w:val="0"/>
            <w:vAlign w:val="top"/>
          </w:tcPr>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同时满足以下条件的：</w:t>
            </w:r>
          </w:p>
          <w:p>
            <w:pPr>
              <w:widowControl/>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无同一类违法行为的查处记录</w:t>
            </w:r>
            <w:r>
              <w:rPr>
                <w:rFonts w:hint="eastAsia" w:ascii="仿宋_GB2312" w:hAnsi="仿宋_GB2312" w:eastAsia="仿宋_GB2312" w:cs="仿宋_GB2312"/>
                <w:sz w:val="24"/>
                <w:szCs w:val="24"/>
                <w:lang w:val="en-US" w:eastAsia="zh-CN"/>
              </w:rPr>
              <w:t>；</w:t>
            </w:r>
          </w:p>
          <w:p>
            <w:pPr>
              <w:widowControl/>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库存粮油情况发生变化的，粮油仓储单位未在5个工作日内更新库存粮油货位卡和有关帐目，确保账账相符、账实相符的；</w:t>
            </w:r>
          </w:p>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）主动整改</w:t>
            </w:r>
            <w:r>
              <w:rPr>
                <w:rFonts w:hint="eastAsia" w:ascii="仿宋_GB2312" w:hAnsi="仿宋_GB2312" w:eastAsia="仿宋_GB2312" w:cs="仿宋_GB2312"/>
                <w:sz w:val="24"/>
                <w:szCs w:val="24"/>
              </w:rPr>
              <w:t>或在行政机关责令改正的期限内改正；</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危害后果轻微，未引发不良社会影响。</w:t>
            </w:r>
          </w:p>
        </w:tc>
        <w:tc>
          <w:tcPr>
            <w:tcW w:w="2106"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对当事人的违法行为依法不予行政处罚的，行政机关应当对当事人进行教育、指导，</w:t>
            </w:r>
            <w:r>
              <w:rPr>
                <w:rFonts w:hint="eastAsia" w:ascii="仿宋_GB2312" w:hAnsi="仿宋_GB2312" w:eastAsia="仿宋_GB2312" w:cs="仿宋_GB2312"/>
                <w:sz w:val="24"/>
                <w:szCs w:val="24"/>
                <w:vertAlign w:val="baseline"/>
                <w:lang w:val="en-US" w:eastAsia="zh-CN"/>
              </w:rPr>
              <w:t>责令当事人立即或限期改正违法行为，签订《承诺书》，并</w:t>
            </w:r>
            <w:r>
              <w:rPr>
                <w:rFonts w:hint="eastAsia" w:ascii="仿宋_GB2312" w:hAnsi="仿宋_GB2312" w:eastAsia="仿宋_GB2312" w:cs="仿宋_GB2312"/>
                <w:sz w:val="24"/>
                <w:szCs w:val="24"/>
                <w:vertAlign w:val="baseline"/>
                <w:lang w:eastAsia="zh-CN"/>
              </w:rPr>
              <w:t>及时复查整改情况。</w:t>
            </w:r>
          </w:p>
        </w:tc>
        <w:tc>
          <w:tcPr>
            <w:tcW w:w="889" w:type="dxa"/>
            <w:noWrap w:val="0"/>
            <w:vAlign w:val="center"/>
          </w:tcPr>
          <w:p>
            <w:pPr>
              <w:tabs>
                <w:tab w:val="left" w:pos="292"/>
              </w:tabs>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市级、</w:t>
            </w:r>
          </w:p>
          <w:p>
            <w:pPr>
              <w:tabs>
                <w:tab w:val="left" w:pos="292"/>
              </w:tabs>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w:t>
            </w:r>
          </w:p>
        </w:tc>
      </w:tr>
    </w:tbl>
    <w:p>
      <w:pPr>
        <w:pStyle w:val="2"/>
        <w:rPr>
          <w:rFonts w:hint="eastAsia" w:ascii="仿宋_GB2312" w:hAnsi="仿宋_GB2312" w:eastAsia="仿宋_GB2312" w:cs="仿宋_GB2312"/>
          <w:lang w:val="en-US" w:eastAsia="zh-CN"/>
        </w:rPr>
        <w:sectPr>
          <w:pgSz w:w="16838" w:h="11906" w:orient="landscape"/>
          <w:pgMar w:top="1293" w:right="1270" w:bottom="1293" w:left="1270" w:header="851" w:footer="992" w:gutter="0"/>
          <w:pgNumType w:fmt="numberInDash"/>
          <w:cols w:space="720"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spacing w:line="590" w:lineRule="exact"/>
        <w:rPr>
          <w:rFonts w:ascii="Times New Roman" w:hAnsi="Times New Roman" w:eastAsia="方正黑体_GBK"/>
          <w:sz w:val="32"/>
          <w:szCs w:val="32"/>
        </w:rPr>
      </w:pPr>
    </w:p>
    <w:p>
      <w:pPr>
        <w:spacing w:line="700" w:lineRule="exact"/>
        <w:jc w:val="center"/>
        <w:rPr>
          <w:rFonts w:eastAsia="方正小标宋_GBK"/>
          <w:bCs/>
          <w:color w:val="000000"/>
          <w:sz w:val="44"/>
          <w:szCs w:val="44"/>
        </w:rPr>
      </w:pPr>
      <w:r>
        <w:rPr>
          <w:rFonts w:eastAsia="方正小标宋_GBK"/>
          <w:bCs/>
          <w:color w:val="000000"/>
          <w:sz w:val="44"/>
          <w:szCs w:val="44"/>
        </w:rPr>
        <w:t>承 诺</w:t>
      </w:r>
      <w:r>
        <w:rPr>
          <w:rFonts w:hint="eastAsia" w:eastAsia="方正小标宋_GBK"/>
          <w:bCs/>
          <w:color w:val="000000"/>
          <w:sz w:val="44"/>
          <w:szCs w:val="44"/>
          <w:lang w:val="en-US" w:eastAsia="zh-CN"/>
        </w:rPr>
        <w:t xml:space="preserve"> </w:t>
      </w:r>
      <w:r>
        <w:rPr>
          <w:rFonts w:eastAsia="方正小标宋_GBK"/>
          <w:bCs/>
          <w:color w:val="000000"/>
          <w:sz w:val="44"/>
          <w:szCs w:val="44"/>
        </w:rPr>
        <w:t xml:space="preserve">书 </w:t>
      </w:r>
      <w:r>
        <w:rPr>
          <w:rFonts w:hint="eastAsia" w:eastAsia="方正小标宋_GBK"/>
          <w:bCs/>
          <w:color w:val="000000"/>
          <w:sz w:val="44"/>
          <w:szCs w:val="44"/>
          <w:lang w:eastAsia="zh-CN"/>
        </w:rPr>
        <w:t>（参考样式）</w:t>
      </w:r>
    </w:p>
    <w:p>
      <w:pPr>
        <w:spacing w:line="300" w:lineRule="exact"/>
        <w:jc w:val="center"/>
        <w:rPr>
          <w:rFonts w:eastAsia="方正小标宋_GBK"/>
          <w:bCs/>
          <w:color w:val="000000"/>
          <w:sz w:val="44"/>
          <w:szCs w:val="44"/>
        </w:rPr>
      </w:pPr>
    </w:p>
    <w:p>
      <w:pPr>
        <w:jc w:val="center"/>
        <w:rPr>
          <w:rFonts w:hint="eastAsia" w:ascii="仿宋_GB2312" w:hAnsi="仿宋_GB2312" w:eastAsia="仿宋_GB2312" w:cs="仿宋_GB2312"/>
          <w:color w:val="000000"/>
          <w:sz w:val="32"/>
          <w:szCs w:val="32"/>
        </w:rPr>
      </w:pPr>
      <w:r>
        <w:rPr>
          <w:rFonts w:eastAsia="方正小标宋简体"/>
          <w:color w:val="000000"/>
          <w:sz w:val="28"/>
          <w:szCs w:val="28"/>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编号：</w:t>
      </w:r>
    </w:p>
    <w:p>
      <w:p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执法人员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日的监督检查中发现我（单位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u w:val="single"/>
        </w:rPr>
        <w:t xml:space="preserve">                        </w:t>
      </w:r>
    </w:p>
    <w:p>
      <w:p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违法行为，执法人员已向我（单位）进行了相关告知和批评教育，并要求我（单位）予以改正。</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我（单位）对以上情况确认无误，并自愿承诺：</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1. 立即予以改正；</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2. 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日前改正，并将整改情况说明及相关证明材料送达你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spacing w:line="59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若我（单位）未履行上述承诺，愿依法承担相应的法律责任。</w:t>
      </w:r>
    </w:p>
    <w:p>
      <w:pPr>
        <w:spacing w:line="590" w:lineRule="exact"/>
        <w:rPr>
          <w:rFonts w:hint="eastAsia" w:ascii="仿宋_GB2312" w:hAnsi="仿宋_GB2312" w:eastAsia="仿宋_GB2312" w:cs="仿宋_GB2312"/>
          <w:sz w:val="32"/>
          <w:szCs w:val="32"/>
        </w:rPr>
      </w:pPr>
    </w:p>
    <w:p>
      <w:pPr>
        <w:spacing w:line="590" w:lineRule="exact"/>
        <w:rPr>
          <w:rFonts w:hint="eastAsia" w:ascii="仿宋_GB2312" w:hAnsi="仿宋_GB2312" w:eastAsia="仿宋_GB2312" w:cs="仿宋_GB2312"/>
          <w:sz w:val="32"/>
          <w:szCs w:val="32"/>
        </w:rPr>
      </w:pPr>
    </w:p>
    <w:p>
      <w:pPr>
        <w:spacing w:line="590" w:lineRule="exact"/>
        <w:ind w:right="840" w:rightChars="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承诺人签名或盖章：    </w:t>
      </w:r>
    </w:p>
    <w:p>
      <w:pPr>
        <w:spacing w:line="590" w:lineRule="exact"/>
        <w:ind w:right="840" w:rightChars="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tabs>
          <w:tab w:val="left" w:pos="567"/>
        </w:tabs>
        <w:spacing w:line="590" w:lineRule="exact"/>
        <w:rPr>
          <w:rFonts w:hint="eastAsia" w:ascii="仿宋_GB2312" w:hAnsi="仿宋_GB2312" w:eastAsia="仿宋_GB2312" w:cs="仿宋_GB2312"/>
          <w:sz w:val="32"/>
          <w:szCs w:val="32"/>
        </w:rPr>
      </w:pPr>
    </w:p>
    <w:p>
      <w:p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附：当事人身份证（营业执照）复印件。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注：本承诺书一式两份，执法部门和当事人各一份。</w:t>
      </w:r>
    </w:p>
    <w:p>
      <w:pPr>
        <w:pStyle w:val="3"/>
        <w:rPr>
          <w:rFonts w:hint="eastAsia"/>
          <w:lang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42A1F"/>
    <w:multiLevelType w:val="singleLevel"/>
    <w:tmpl w:val="29D42A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F6F19"/>
    <w:rsid w:val="007D4DFC"/>
    <w:rsid w:val="04BD3592"/>
    <w:rsid w:val="140C3368"/>
    <w:rsid w:val="15370C50"/>
    <w:rsid w:val="177B76F7"/>
    <w:rsid w:val="196C7318"/>
    <w:rsid w:val="1AFE4FD4"/>
    <w:rsid w:val="1FEF9F86"/>
    <w:rsid w:val="25676850"/>
    <w:rsid w:val="274FF9D0"/>
    <w:rsid w:val="2BFFDB5D"/>
    <w:rsid w:val="2D985615"/>
    <w:rsid w:val="2F3B37DC"/>
    <w:rsid w:val="2FF4D11A"/>
    <w:rsid w:val="2FF68C12"/>
    <w:rsid w:val="36317D1C"/>
    <w:rsid w:val="36C7BF1F"/>
    <w:rsid w:val="37DB55C7"/>
    <w:rsid w:val="3A7321FD"/>
    <w:rsid w:val="3B7F705D"/>
    <w:rsid w:val="3BF75FF5"/>
    <w:rsid w:val="3C9EA449"/>
    <w:rsid w:val="3CE00E51"/>
    <w:rsid w:val="3EFB8309"/>
    <w:rsid w:val="3F7F3C01"/>
    <w:rsid w:val="3FEFC2C8"/>
    <w:rsid w:val="40020A97"/>
    <w:rsid w:val="417F5D5D"/>
    <w:rsid w:val="46FBEB56"/>
    <w:rsid w:val="47F38DDD"/>
    <w:rsid w:val="47FEE54A"/>
    <w:rsid w:val="484668C9"/>
    <w:rsid w:val="49EF709C"/>
    <w:rsid w:val="4BB51DF1"/>
    <w:rsid w:val="4BDF94AF"/>
    <w:rsid w:val="4BDFF07F"/>
    <w:rsid w:val="4E784F15"/>
    <w:rsid w:val="4F94CEF9"/>
    <w:rsid w:val="56DCF3D5"/>
    <w:rsid w:val="56FF8A70"/>
    <w:rsid w:val="57AB9D5C"/>
    <w:rsid w:val="57AE69CA"/>
    <w:rsid w:val="57FF10EA"/>
    <w:rsid w:val="57FF2410"/>
    <w:rsid w:val="57FF630F"/>
    <w:rsid w:val="5B662FC2"/>
    <w:rsid w:val="5B73BCA8"/>
    <w:rsid w:val="5F73A120"/>
    <w:rsid w:val="5FF789CB"/>
    <w:rsid w:val="667D7E4A"/>
    <w:rsid w:val="66F7EF40"/>
    <w:rsid w:val="6899151F"/>
    <w:rsid w:val="6A22447E"/>
    <w:rsid w:val="6ACF507A"/>
    <w:rsid w:val="6B854A86"/>
    <w:rsid w:val="6BFF7B9C"/>
    <w:rsid w:val="6C3368E6"/>
    <w:rsid w:val="6D8454DA"/>
    <w:rsid w:val="6DBD634F"/>
    <w:rsid w:val="6DDF7774"/>
    <w:rsid w:val="6DDFC0E9"/>
    <w:rsid w:val="6FF3B1D6"/>
    <w:rsid w:val="6FFD9450"/>
    <w:rsid w:val="70A6EBCA"/>
    <w:rsid w:val="711D1177"/>
    <w:rsid w:val="73BF53D8"/>
    <w:rsid w:val="75FF8AE0"/>
    <w:rsid w:val="770E4774"/>
    <w:rsid w:val="77BDDF39"/>
    <w:rsid w:val="77F512F9"/>
    <w:rsid w:val="79DFCA52"/>
    <w:rsid w:val="79EEAB03"/>
    <w:rsid w:val="7B8D2AA9"/>
    <w:rsid w:val="7BDD6307"/>
    <w:rsid w:val="7C5C3C17"/>
    <w:rsid w:val="7D3388F6"/>
    <w:rsid w:val="7D654E27"/>
    <w:rsid w:val="7DAE37A4"/>
    <w:rsid w:val="7DBF399A"/>
    <w:rsid w:val="7DBF469D"/>
    <w:rsid w:val="7DDBE874"/>
    <w:rsid w:val="7DEDC291"/>
    <w:rsid w:val="7EDE6C94"/>
    <w:rsid w:val="7EFF2704"/>
    <w:rsid w:val="7F3F547D"/>
    <w:rsid w:val="7F655D24"/>
    <w:rsid w:val="7F7BB6D1"/>
    <w:rsid w:val="7F7CF81B"/>
    <w:rsid w:val="7FB70657"/>
    <w:rsid w:val="7FB79688"/>
    <w:rsid w:val="7FD73173"/>
    <w:rsid w:val="7FEE6271"/>
    <w:rsid w:val="7FF38124"/>
    <w:rsid w:val="7FFA46BD"/>
    <w:rsid w:val="8BBB3F24"/>
    <w:rsid w:val="8BFF0110"/>
    <w:rsid w:val="8EFDA5FF"/>
    <w:rsid w:val="8FBD5977"/>
    <w:rsid w:val="9D6F6CFC"/>
    <w:rsid w:val="9FDE39B6"/>
    <w:rsid w:val="9FFC5B68"/>
    <w:rsid w:val="ABFFA49A"/>
    <w:rsid w:val="AFBEF708"/>
    <w:rsid w:val="AFFD7B09"/>
    <w:rsid w:val="B3BAC699"/>
    <w:rsid w:val="B4BF90C7"/>
    <w:rsid w:val="B7355767"/>
    <w:rsid w:val="B7BD0D4D"/>
    <w:rsid w:val="BA7C5AD3"/>
    <w:rsid w:val="BBF6E400"/>
    <w:rsid w:val="BBFB871D"/>
    <w:rsid w:val="BDEEED5D"/>
    <w:rsid w:val="BFDF80BC"/>
    <w:rsid w:val="CAFF3F91"/>
    <w:rsid w:val="CDD5C507"/>
    <w:rsid w:val="CEBB8913"/>
    <w:rsid w:val="CFDB6FBB"/>
    <w:rsid w:val="D3FFBB0D"/>
    <w:rsid w:val="D518AEB3"/>
    <w:rsid w:val="D7FDAA0C"/>
    <w:rsid w:val="D8EF218E"/>
    <w:rsid w:val="D9F48C4B"/>
    <w:rsid w:val="DC7FC554"/>
    <w:rsid w:val="DC9CB7C9"/>
    <w:rsid w:val="DDDCCFFB"/>
    <w:rsid w:val="DDFED299"/>
    <w:rsid w:val="DE2DC0CE"/>
    <w:rsid w:val="DE7F4FA1"/>
    <w:rsid w:val="DF77A476"/>
    <w:rsid w:val="DFAF6DC6"/>
    <w:rsid w:val="DFBFBFD2"/>
    <w:rsid w:val="DFFF4897"/>
    <w:rsid w:val="E77BA94D"/>
    <w:rsid w:val="E931A028"/>
    <w:rsid w:val="E99F403D"/>
    <w:rsid w:val="EB15095D"/>
    <w:rsid w:val="EBFDE1D9"/>
    <w:rsid w:val="EDDABAF0"/>
    <w:rsid w:val="EDDE1CA2"/>
    <w:rsid w:val="EF2D55D2"/>
    <w:rsid w:val="EF7FFF1E"/>
    <w:rsid w:val="EFBD1ECA"/>
    <w:rsid w:val="EFC20068"/>
    <w:rsid w:val="EFFBC7A5"/>
    <w:rsid w:val="EFFF7669"/>
    <w:rsid w:val="F1DE2B4E"/>
    <w:rsid w:val="F35CCF14"/>
    <w:rsid w:val="F37FAE1D"/>
    <w:rsid w:val="F5AE51F3"/>
    <w:rsid w:val="F5FF2A96"/>
    <w:rsid w:val="F67F1641"/>
    <w:rsid w:val="F67F5163"/>
    <w:rsid w:val="F6EF2191"/>
    <w:rsid w:val="F72E5B90"/>
    <w:rsid w:val="F77D928B"/>
    <w:rsid w:val="F7A55926"/>
    <w:rsid w:val="F7BFA7D8"/>
    <w:rsid w:val="F7F5C01F"/>
    <w:rsid w:val="F7FFAA7B"/>
    <w:rsid w:val="FBDD614E"/>
    <w:rsid w:val="FBFB2CF7"/>
    <w:rsid w:val="FBFFCFF8"/>
    <w:rsid w:val="FBFFF673"/>
    <w:rsid w:val="FC7FFCAD"/>
    <w:rsid w:val="FCFE2921"/>
    <w:rsid w:val="FD8FB4D9"/>
    <w:rsid w:val="FD9F7729"/>
    <w:rsid w:val="FDBF14FE"/>
    <w:rsid w:val="FDFF85B3"/>
    <w:rsid w:val="FEDBD38C"/>
    <w:rsid w:val="FEEE6F96"/>
    <w:rsid w:val="FEFFF499"/>
    <w:rsid w:val="FF6F1B3E"/>
    <w:rsid w:val="FF7A3723"/>
    <w:rsid w:val="FF9F6F19"/>
    <w:rsid w:val="FFAFA9F0"/>
    <w:rsid w:val="FFCE1E56"/>
    <w:rsid w:val="FFDB147B"/>
    <w:rsid w:val="FFFBD088"/>
    <w:rsid w:val="FFFDCBEC"/>
    <w:rsid w:val="FFFFFC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napToGrid/>
      <w:spacing w:after="0"/>
      <w:jc w:val="center"/>
    </w:pPr>
    <w:rPr>
      <w:rFonts w:ascii="方正小标宋_GBK" w:hAnsi="Times New Roman" w:eastAsia="方正小标宋_GBK" w:cs="方正小标宋_GBK"/>
      <w:b/>
      <w:bCs/>
      <w:snapToGrid/>
      <w:kern w:val="2"/>
      <w:sz w:val="36"/>
      <w:szCs w:val="24"/>
      <w:lang w:val="en-US" w:eastAsia="zh-CN" w:bidi="ar-SA"/>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nhideWhenUsed/>
    <w:qFormat/>
    <w:uiPriority w:val="99"/>
    <w:rPr>
      <w:rFonts w:ascii="Calibri" w:hAnsi="Calibr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2022-08-26T18:18:00Z</dcterms:created>
  <dc:creator> </dc:creator>
  <cp:lastModifiedBy> </cp:lastModifiedBy>
  <cp:lastPrinted>2023-01-03T09:27:51Z</cp:lastPrinted>
  <dcterms:modified xsi:type="dcterms:W3CDTF">2023-01-03T10:20:11Z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