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olor w:val="FFFFFF"/>
          <w:spacing w:val="23"/>
          <w:w w:val="66"/>
          <w:sz w:val="90"/>
          <w:szCs w:val="90"/>
        </w:rPr>
      </w:pPr>
    </w:p>
    <w:p>
      <w:pPr>
        <w:jc w:val="both"/>
        <w:rPr>
          <w:rFonts w:hint="eastAsia" w:ascii="方正小标宋简体" w:eastAsia="方正小标宋简体"/>
          <w:color w:val="FF0000"/>
          <w:spacing w:val="23"/>
          <w:w w:val="66"/>
          <w:sz w:val="90"/>
          <w:szCs w:val="90"/>
        </w:rPr>
      </w:pPr>
      <w:r>
        <w:rPr>
          <w:rFonts w:hint="eastAsia" w:ascii="方正小标宋简体" w:eastAsia="方正小标宋简体"/>
          <w:color w:val="FFFFFF"/>
          <w:spacing w:val="23"/>
          <w:w w:val="66"/>
          <w:sz w:val="90"/>
          <w:szCs w:val="90"/>
        </w:rPr>
        <w:t>北京市粮食和物资储备局文件</w:t>
      </w:r>
    </w:p>
    <w:p>
      <w:pPr>
        <w:spacing w:line="510" w:lineRule="exact"/>
        <w:rPr>
          <w:rFonts w:hint="eastAsia" w:eastAsia="仿宋_GB2312"/>
          <w:sz w:val="32"/>
        </w:rPr>
      </w:pPr>
    </w:p>
    <w:p>
      <w:pPr>
        <w:spacing w:line="620" w:lineRule="exact"/>
        <w:jc w:val="center"/>
        <w:rPr>
          <w:rFonts w:hint="eastAsia" w:ascii="仿宋_GB2312" w:eastAsia="仿宋_GB2312"/>
          <w:sz w:val="32"/>
        </w:rPr>
      </w:pPr>
      <w:bookmarkStart w:id="0" w:name="docsendnum"/>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eastAsia="仿宋_GB2312"/>
          <w:sz w:val="32"/>
        </w:rPr>
      </w:pPr>
      <w:r>
        <w:rPr>
          <w:rFonts w:hint="eastAsia" w:ascii="仿宋_GB2312" w:eastAsia="仿宋_GB2312"/>
          <w:sz w:val="32"/>
        </w:rPr>
        <w:t>京粮发〔</w:t>
      </w:r>
      <w:r>
        <w:rPr>
          <w:rFonts w:hint="eastAsia" w:ascii="仿宋_GB2312" w:eastAsia="仿宋_GB2312"/>
          <w:sz w:val="32"/>
          <w:lang w:val="en-US" w:eastAsia="zh-CN"/>
        </w:rPr>
        <w:t>2026</w:t>
      </w:r>
      <w:r>
        <w:rPr>
          <w:rFonts w:hint="eastAsia" w:ascii="仿宋_GB2312" w:eastAsia="仿宋_GB2312"/>
          <w:sz w:val="32"/>
        </w:rPr>
        <w:t>〕</w:t>
      </w:r>
      <w:r>
        <w:rPr>
          <w:rFonts w:hint="eastAsia" w:ascii="仿宋_GB2312" w:eastAsia="仿宋_GB2312"/>
          <w:sz w:val="32"/>
          <w:lang w:val="en-US" w:eastAsia="zh-CN"/>
        </w:rPr>
        <w:t>18</w:t>
      </w:r>
      <w:r>
        <w:rPr>
          <w:rFonts w:hint="eastAsia" w:ascii="仿宋_GB2312" w:eastAsia="仿宋_GB2312"/>
          <w:sz w:val="32"/>
        </w:rPr>
        <w:t>号</w:t>
      </w:r>
      <w:bookmarkEnd w:id="0"/>
    </w:p>
    <w:p>
      <w:pPr>
        <w:rPr>
          <w:rFonts w:hint="eastAsia"/>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1" w:name="mainDelivery"/>
    </w:p>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北京市</w:t>
      </w:r>
      <w:r>
        <w:rPr>
          <w:rFonts w:hint="eastAsia" w:ascii="方正小标宋简体" w:hAnsi="方正小标宋简体" w:eastAsia="方正小标宋简体" w:cs="方正小标宋简体"/>
          <w:sz w:val="44"/>
          <w:szCs w:val="44"/>
          <w:lang w:eastAsia="zh-CN"/>
        </w:rPr>
        <w:t>粮食和物资储备</w:t>
      </w:r>
      <w:r>
        <w:rPr>
          <w:rFonts w:hint="eastAsia" w:ascii="方正小标宋简体" w:hAnsi="方正小标宋简体" w:eastAsia="方正小标宋简体" w:cs="方正小标宋简体"/>
          <w:sz w:val="44"/>
          <w:szCs w:val="44"/>
        </w:rPr>
        <w:t>局关于</w:t>
      </w:r>
      <w:r>
        <w:rPr>
          <w:rFonts w:hint="eastAsia" w:ascii="方正小标宋简体" w:hAnsi="方正小标宋简体" w:eastAsia="方正小标宋简体" w:cs="方正小标宋简体"/>
          <w:sz w:val="44"/>
          <w:szCs w:val="44"/>
          <w:lang w:eastAsia="zh-CN"/>
        </w:rPr>
        <w:t>印发</w:t>
      </w:r>
      <w:r>
        <w:rPr>
          <w:rFonts w:hint="eastAsia" w:ascii="方正小标宋简体" w:hAnsi="方正小标宋简体" w:eastAsia="方正小标宋简体" w:cs="方正小标宋简体"/>
          <w:sz w:val="44"/>
          <w:szCs w:val="44"/>
          <w:lang w:val="en" w:eastAsia="zh-CN"/>
        </w:rPr>
        <w:t>《北京市粮食领域行政处罚裁量权基准》《北京市粮食领域行政处罚裁量权基准表及处罚公示期限目录》</w:t>
      </w:r>
      <w:r>
        <w:rPr>
          <w:rStyle w:val="11"/>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t>的</w:t>
      </w:r>
      <w:r>
        <w:rPr>
          <w:rFonts w:hint="eastAsia" w:ascii="方正小标宋简体" w:hAnsi="方正小标宋简体" w:eastAsia="方正小标宋简体" w:cs="方正小标宋简体"/>
          <w:sz w:val="44"/>
          <w:szCs w:val="44"/>
          <w:lang w:eastAsia="zh-CN"/>
        </w:rPr>
        <w:t>通知</w:t>
      </w:r>
    </w:p>
    <w:p>
      <w:pPr>
        <w:keepNext w:val="0"/>
        <w:keepLines w:val="0"/>
        <w:pageBreakBefore w:val="0"/>
        <w:kinsoku/>
        <w:wordWrap/>
        <w:overflowPunct/>
        <w:topLinePunct w:val="0"/>
        <w:autoSpaceDE/>
        <w:autoSpaceDN/>
        <w:bidi w:val="0"/>
        <w:adjustRightInd/>
        <w:snapToGrid/>
        <w:spacing w:line="620" w:lineRule="exact"/>
        <w:textAlignment w:val="auto"/>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highlight w:val="none"/>
          <w:lang w:val="en-US" w:eastAsia="zh-CN"/>
        </w:rPr>
        <w:t>各区发展改革委（粮食和储备局）、市场监督管理局，北京经济技术开发区经济发展局、综合执法局</w:t>
      </w:r>
      <w:r>
        <w:rPr>
          <w:rFonts w:hint="eastAsia" w:ascii="楷体_GB2312" w:hAnsi="楷体_GB2312" w:eastAsia="楷体_GB2312" w:cs="楷体_GB2312"/>
          <w:sz w:val="32"/>
          <w:szCs w:val="32"/>
          <w:lang w:val="en-US" w:eastAsia="zh-CN"/>
        </w:rPr>
        <w:t>：</w:t>
      </w:r>
    </w:p>
    <w:bookmarkEnd w:id="1"/>
    <w:p>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 w:eastAsia="zh-CN"/>
        </w:rPr>
        <w:t>根据国家和本市相关要求，北京市粮食和物资储备局对《北京市粮食和物资储备局关于印发&lt;北京市粮食领域行政处罚裁量权基准</w:t>
      </w:r>
      <w:r>
        <w:rPr>
          <w:rFonts w:hint="eastAsia" w:ascii="楷体_GB2312" w:hAnsi="楷体_GB2312" w:eastAsia="楷体_GB2312" w:cs="楷体_GB2312"/>
          <w:sz w:val="32"/>
          <w:szCs w:val="32"/>
          <w:lang w:val="en-US" w:eastAsia="zh-CN"/>
        </w:rPr>
        <w:t>2024版</w:t>
      </w:r>
      <w:r>
        <w:rPr>
          <w:rFonts w:hint="eastAsia" w:ascii="楷体_GB2312" w:hAnsi="楷体_GB2312" w:eastAsia="楷体_GB2312" w:cs="楷体_GB2312"/>
          <w:sz w:val="32"/>
          <w:szCs w:val="32"/>
          <w:lang w:val="en" w:eastAsia="zh-CN"/>
        </w:rPr>
        <w:t>&gt;&lt;北京市粮食领域行政处罚裁量权基准表及处罚公示期限目录</w:t>
      </w:r>
      <w:r>
        <w:rPr>
          <w:rFonts w:hint="eastAsia" w:ascii="楷体_GB2312" w:hAnsi="楷体_GB2312" w:eastAsia="楷体_GB2312" w:cs="楷体_GB2312"/>
          <w:sz w:val="32"/>
          <w:szCs w:val="32"/>
          <w:lang w:val="en-US" w:eastAsia="zh-CN"/>
        </w:rPr>
        <w:t>2024版</w:t>
      </w:r>
      <w:r>
        <w:rPr>
          <w:rFonts w:hint="eastAsia" w:ascii="楷体_GB2312" w:hAnsi="楷体_GB2312" w:eastAsia="楷体_GB2312" w:cs="楷体_GB2312"/>
          <w:sz w:val="32"/>
          <w:szCs w:val="32"/>
          <w:lang w:val="en" w:eastAsia="zh-CN"/>
        </w:rPr>
        <w:t>&gt;的通知》（京粮发〔</w:t>
      </w:r>
      <w:r>
        <w:rPr>
          <w:rFonts w:hint="eastAsia" w:ascii="楷体_GB2312" w:hAnsi="楷体_GB2312" w:eastAsia="楷体_GB2312" w:cs="楷体_GB2312"/>
          <w:sz w:val="32"/>
          <w:szCs w:val="32"/>
          <w:lang w:val="en-US" w:eastAsia="zh-CN"/>
        </w:rPr>
        <w:t>2024</w:t>
      </w:r>
      <w:r>
        <w:rPr>
          <w:rFonts w:hint="eastAsia" w:ascii="楷体_GB2312" w:hAnsi="楷体_GB2312" w:eastAsia="楷体_GB2312" w:cs="楷体_GB2312"/>
          <w:sz w:val="32"/>
          <w:szCs w:val="32"/>
          <w:lang w:val="en" w:eastAsia="zh-CN"/>
        </w:rPr>
        <w:t>〕</w:t>
      </w:r>
      <w:r>
        <w:rPr>
          <w:rFonts w:hint="eastAsia" w:ascii="楷体_GB2312" w:hAnsi="楷体_GB2312" w:eastAsia="楷体_GB2312" w:cs="楷体_GB2312"/>
          <w:sz w:val="32"/>
          <w:szCs w:val="32"/>
          <w:lang w:val="en-US" w:eastAsia="zh-CN"/>
        </w:rPr>
        <w:t>29号</w:t>
      </w:r>
      <w:r>
        <w:rPr>
          <w:rFonts w:hint="eastAsia" w:ascii="楷体_GB2312" w:hAnsi="楷体_GB2312" w:eastAsia="楷体_GB2312" w:cs="楷体_GB2312"/>
          <w:sz w:val="32"/>
          <w:szCs w:val="32"/>
          <w:lang w:val="en" w:eastAsia="zh-CN"/>
        </w:rPr>
        <w:t>）进行了修订</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经北京市粮食和物资储备局</w:t>
      </w:r>
      <w:r>
        <w:rPr>
          <w:rFonts w:hint="eastAsia" w:ascii="楷体_GB2312" w:hAnsi="楷体_GB2312" w:eastAsia="楷体_GB2312" w:cs="楷体_GB2312"/>
          <w:sz w:val="32"/>
          <w:szCs w:val="32"/>
          <w:highlight w:val="none"/>
        </w:rPr>
        <w:t>202</w:t>
      </w:r>
      <w:r>
        <w:rPr>
          <w:rFonts w:hint="eastAsia" w:ascii="楷体_GB2312" w:hAnsi="楷体_GB2312" w:eastAsia="楷体_GB2312" w:cs="楷体_GB2312"/>
          <w:sz w:val="32"/>
          <w:szCs w:val="32"/>
          <w:highlight w:val="none"/>
          <w:lang w:val="en-US" w:eastAsia="zh-CN"/>
        </w:rPr>
        <w:t>6</w:t>
      </w:r>
      <w:r>
        <w:rPr>
          <w:rFonts w:hint="eastAsia" w:ascii="楷体_GB2312" w:hAnsi="楷体_GB2312" w:eastAsia="楷体_GB2312" w:cs="楷体_GB2312"/>
          <w:sz w:val="32"/>
          <w:szCs w:val="32"/>
          <w:highlight w:val="none"/>
        </w:rPr>
        <w:t>年</w:t>
      </w:r>
      <w:r>
        <w:rPr>
          <w:rFonts w:hint="eastAsia" w:ascii="楷体_GB2312" w:hAnsi="楷体_GB2312" w:eastAsia="楷体_GB2312" w:cs="楷体_GB2312"/>
          <w:sz w:val="32"/>
          <w:szCs w:val="32"/>
          <w:highlight w:val="none"/>
          <w:lang w:val="en-US" w:eastAsia="zh-CN"/>
        </w:rPr>
        <w:t>7</w:t>
      </w:r>
      <w:r>
        <w:rPr>
          <w:rFonts w:hint="eastAsia" w:ascii="楷体_GB2312" w:hAnsi="楷体_GB2312" w:eastAsia="楷体_GB2312" w:cs="楷体_GB2312"/>
          <w:sz w:val="32"/>
          <w:szCs w:val="32"/>
          <w:highlight w:val="none"/>
        </w:rPr>
        <w:t>月</w:t>
      </w:r>
      <w:r>
        <w:rPr>
          <w:rFonts w:hint="eastAsia" w:ascii="楷体_GB2312" w:hAnsi="楷体_GB2312" w:eastAsia="楷体_GB2312" w:cs="楷体_GB2312"/>
          <w:sz w:val="32"/>
          <w:szCs w:val="32"/>
          <w:highlight w:val="none"/>
          <w:lang w:val="en-US" w:eastAsia="zh-CN"/>
        </w:rPr>
        <w:t>6</w:t>
      </w:r>
      <w:r>
        <w:rPr>
          <w:rFonts w:hint="eastAsia" w:ascii="楷体_GB2312" w:hAnsi="楷体_GB2312" w:eastAsia="楷体_GB2312" w:cs="楷体_GB2312"/>
          <w:sz w:val="32"/>
          <w:szCs w:val="32"/>
          <w:highlight w:val="none"/>
        </w:rPr>
        <w:t>日第</w:t>
      </w:r>
      <w:r>
        <w:rPr>
          <w:rFonts w:hint="eastAsia" w:ascii="楷体_GB2312" w:hAnsi="楷体_GB2312" w:eastAsia="楷体_GB2312" w:cs="楷体_GB2312"/>
          <w:sz w:val="32"/>
          <w:szCs w:val="32"/>
          <w:highlight w:val="none"/>
          <w:lang w:val="en-US" w:eastAsia="zh-CN"/>
        </w:rPr>
        <w:t>14</w:t>
      </w:r>
      <w:r>
        <w:rPr>
          <w:rFonts w:hint="eastAsia" w:ascii="楷体_GB2312" w:hAnsi="楷体_GB2312" w:eastAsia="楷体_GB2312" w:cs="楷体_GB2312"/>
          <w:sz w:val="32"/>
          <w:szCs w:val="32"/>
          <w:highlight w:val="none"/>
        </w:rPr>
        <w:t>次</w:t>
      </w:r>
      <w:r>
        <w:rPr>
          <w:rFonts w:hint="eastAsia" w:ascii="楷体_GB2312" w:hAnsi="楷体_GB2312" w:eastAsia="楷体_GB2312" w:cs="楷体_GB2312"/>
          <w:sz w:val="32"/>
          <w:szCs w:val="32"/>
        </w:rPr>
        <w:t>局</w:t>
      </w:r>
      <w:r>
        <w:rPr>
          <w:rFonts w:hint="eastAsia" w:ascii="楷体_GB2312" w:hAnsi="楷体_GB2312" w:eastAsia="楷体_GB2312" w:cs="楷体_GB2312"/>
          <w:sz w:val="32"/>
          <w:szCs w:val="32"/>
          <w:lang w:eastAsia="zh-CN"/>
        </w:rPr>
        <w:t>党组会议</w:t>
      </w:r>
      <w:r>
        <w:rPr>
          <w:rFonts w:hint="eastAsia" w:ascii="楷体_GB2312" w:hAnsi="楷体_GB2312" w:eastAsia="楷体_GB2312" w:cs="楷体_GB2312"/>
          <w:sz w:val="32"/>
          <w:szCs w:val="32"/>
        </w:rPr>
        <w:t>审议通过，现将修订后的</w:t>
      </w:r>
      <w:r>
        <w:rPr>
          <w:rFonts w:hint="eastAsia" w:ascii="楷体_GB2312" w:hAnsi="楷体_GB2312" w:eastAsia="楷体_GB2312" w:cs="楷体_GB2312"/>
          <w:sz w:val="32"/>
          <w:szCs w:val="32"/>
          <w:lang w:eastAsia="zh-CN"/>
        </w:rPr>
        <w:t>版本</w:t>
      </w:r>
      <w:r>
        <w:rPr>
          <w:rFonts w:hint="eastAsia" w:ascii="楷体_GB2312" w:hAnsi="楷体_GB2312" w:eastAsia="楷体_GB2312" w:cs="楷体_GB2312"/>
          <w:sz w:val="32"/>
          <w:szCs w:val="32"/>
        </w:rPr>
        <w:t>印发给你们，请遵照执行。</w:t>
      </w:r>
    </w:p>
    <w:p>
      <w:pPr>
        <w:pStyle w:val="4"/>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   </w:t>
      </w:r>
    </w:p>
    <w:p>
      <w:pPr>
        <w:pStyle w:val="12"/>
        <w:keepNext w:val="0"/>
        <w:keepLines w:val="0"/>
        <w:pageBreakBefore w:val="0"/>
        <w:kinsoku/>
        <w:wordWrap/>
        <w:overflowPunct/>
        <w:topLinePunct w:val="0"/>
        <w:autoSpaceDE/>
        <w:autoSpaceDN/>
        <w:bidi w:val="0"/>
        <w:adjustRightInd/>
        <w:snapToGrid/>
        <w:spacing w:line="620" w:lineRule="exact"/>
        <w:ind w:left="0" w:leftChars="0" w:firstLine="0" w:firstLineChars="0"/>
        <w:rPr>
          <w:rFonts w:hint="eastAsia" w:ascii="楷体_GB2312" w:hAnsi="楷体_GB2312" w:eastAsia="楷体_GB2312" w:cs="楷体_GB2312"/>
          <w:sz w:val="32"/>
          <w:szCs w:val="32"/>
          <w:lang w:eastAsia="zh-CN"/>
        </w:rPr>
      </w:pPr>
    </w:p>
    <w:p>
      <w:pPr>
        <w:pStyle w:val="12"/>
        <w:keepNext w:val="0"/>
        <w:keepLines w:val="0"/>
        <w:pageBreakBefore w:val="0"/>
        <w:kinsoku/>
        <w:wordWrap/>
        <w:overflowPunct/>
        <w:topLinePunct w:val="0"/>
        <w:autoSpaceDE/>
        <w:autoSpaceDN/>
        <w:bidi w:val="0"/>
        <w:adjustRightInd/>
        <w:snapToGrid/>
        <w:spacing w:line="620" w:lineRule="exact"/>
        <w:ind w:firstLine="3200" w:firstLineChars="10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北京市粮食和物资储备局</w:t>
      </w:r>
    </w:p>
    <w:p>
      <w:pPr>
        <w:pStyle w:val="12"/>
        <w:keepNext w:val="0"/>
        <w:keepLines w:val="0"/>
        <w:pageBreakBefore w:val="0"/>
        <w:kinsoku/>
        <w:wordWrap/>
        <w:overflowPunct/>
        <w:topLinePunct w:val="0"/>
        <w:autoSpaceDE/>
        <w:autoSpaceDN/>
        <w:bidi w:val="0"/>
        <w:adjustRightInd/>
        <w:snapToGrid/>
        <w:spacing w:line="620" w:lineRule="exact"/>
        <w:ind w:left="0" w:leftChars="0" w:firstLine="4160" w:firstLineChars="1300"/>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2026年7月9日</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12"/>
        <w:rPr>
          <w:rFonts w:hint="eastAsia"/>
          <w:lang w:val="en-US" w:eastAsia="zh-CN"/>
        </w:rPr>
      </w:pPr>
    </w:p>
    <w:p>
      <w:pPr>
        <w:pStyle w:val="12"/>
        <w:rPr>
          <w:rFonts w:hint="eastAsia"/>
          <w:lang w:val="en-US" w:eastAsia="zh-CN"/>
        </w:rPr>
      </w:pPr>
    </w:p>
    <w:p>
      <w:pPr>
        <w:bidi w:val="0"/>
        <w:rPr>
          <w:rFonts w:hint="eastAsia"/>
          <w:lang w:val="en-US" w:eastAsia="zh-CN"/>
        </w:rPr>
      </w:pPr>
    </w:p>
    <w:p>
      <w:pPr>
        <w:bidi w:val="0"/>
        <w:rPr>
          <w:rFonts w:hint="eastAsia"/>
          <w:lang w:val="en-US" w:eastAsia="zh-CN"/>
        </w:rPr>
      </w:pPr>
    </w:p>
    <w:p>
      <w:pPr>
        <w:pStyle w:val="12"/>
        <w:ind w:left="0" w:leftChars="0" w:firstLine="0" w:firstLineChars="0"/>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792" w:firstLineChars="200"/>
        <w:jc w:val="left"/>
        <w:textAlignment w:val="auto"/>
        <w:rPr>
          <w:rFonts w:hint="eastAsia" w:ascii="方正小标宋简体" w:hAnsi="华文中宋" w:eastAsia="方正小标宋简体" w:cs="方正小标宋简体"/>
          <w:w w:val="90"/>
          <w:sz w:val="44"/>
          <w:szCs w:val="44"/>
        </w:rPr>
      </w:pPr>
      <w:r>
        <w:rPr>
          <w:rFonts w:hint="eastAsia" w:ascii="方正小标宋简体" w:hAnsi="华文中宋" w:eastAsia="方正小标宋简体" w:cs="方正小标宋简体"/>
          <w:w w:val="90"/>
          <w:sz w:val="44"/>
          <w:szCs w:val="44"/>
        </w:rPr>
        <w:t>北京市粮食</w:t>
      </w:r>
      <w:r>
        <w:rPr>
          <w:rFonts w:hint="eastAsia" w:ascii="方正小标宋简体" w:hAnsi="华文中宋" w:eastAsia="方正小标宋简体" w:cs="方正小标宋简体"/>
          <w:w w:val="90"/>
          <w:sz w:val="44"/>
          <w:szCs w:val="44"/>
          <w:lang w:eastAsia="zh-CN"/>
        </w:rPr>
        <w:t>领域</w:t>
      </w:r>
      <w:r>
        <w:rPr>
          <w:rFonts w:hint="eastAsia" w:ascii="方正小标宋简体" w:hAnsi="华文中宋" w:eastAsia="方正小标宋简体" w:cs="方正小标宋简体"/>
          <w:w w:val="90"/>
          <w:sz w:val="44"/>
          <w:szCs w:val="44"/>
        </w:rPr>
        <w:t>行政处罚裁量</w:t>
      </w:r>
      <w:r>
        <w:rPr>
          <w:rFonts w:hint="eastAsia" w:ascii="方正小标宋简体" w:hAnsi="华文中宋" w:eastAsia="方正小标宋简体" w:cs="方正小标宋简体"/>
          <w:w w:val="90"/>
          <w:sz w:val="44"/>
          <w:szCs w:val="44"/>
          <w:lang w:eastAsia="zh-CN"/>
        </w:rPr>
        <w:t>权</w:t>
      </w:r>
      <w:r>
        <w:rPr>
          <w:rFonts w:hint="eastAsia" w:ascii="方正小标宋简体" w:hAnsi="华文中宋" w:eastAsia="方正小标宋简体" w:cs="方正小标宋简体"/>
          <w:w w:val="90"/>
          <w:sz w:val="44"/>
          <w:szCs w:val="44"/>
        </w:rPr>
        <w:t>基准</w:t>
      </w:r>
    </w:p>
    <w:p>
      <w:pPr>
        <w:pStyle w:val="2"/>
        <w:rPr>
          <w:rFonts w:hint="eastAsia"/>
        </w:rPr>
      </w:pP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ascii="仿宋_GB2312" w:hAnsi="仿宋" w:eastAsia="仿宋_GB2312" w:cs="Times New Roman"/>
          <w:sz w:val="32"/>
          <w:szCs w:val="32"/>
        </w:rPr>
      </w:pPr>
      <w:r>
        <w:rPr>
          <w:rFonts w:hint="eastAsia" w:ascii="黑体" w:hAnsi="黑体" w:eastAsia="黑体" w:cs="仿宋_GB2312"/>
          <w:sz w:val="32"/>
          <w:szCs w:val="32"/>
        </w:rPr>
        <w:t>第一条</w:t>
      </w:r>
      <w:r>
        <w:rPr>
          <w:rFonts w:hint="eastAsia" w:ascii="仿宋_GB2312" w:hAnsi="仿宋" w:eastAsia="仿宋_GB2312" w:cs="仿宋_GB2312"/>
          <w:sz w:val="32"/>
          <w:szCs w:val="32"/>
        </w:rPr>
        <w:t xml:space="preserve"> 为规范本市各级粮食</w:t>
      </w:r>
      <w:r>
        <w:rPr>
          <w:rFonts w:hint="eastAsia" w:ascii="仿宋_GB2312" w:hAnsi="仿宋" w:eastAsia="仿宋_GB2312" w:cs="仿宋_GB2312"/>
          <w:color w:val="000000" w:themeColor="text1"/>
          <w:sz w:val="32"/>
          <w:szCs w:val="32"/>
          <w14:textFill>
            <w14:solidFill>
              <w14:schemeClr w14:val="tx1"/>
            </w14:solidFill>
          </w14:textFill>
        </w:rPr>
        <w:t>行政处罚</w:t>
      </w:r>
      <w:r>
        <w:rPr>
          <w:rFonts w:hint="eastAsia" w:ascii="仿宋_GB2312" w:hAnsi="仿宋" w:eastAsia="仿宋_GB2312" w:cs="仿宋_GB2312"/>
          <w:sz w:val="32"/>
          <w:szCs w:val="32"/>
        </w:rPr>
        <w:t>部门的行政执法行为，正确行使行政处罚自由裁量权，根据</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rPr>
        <w:t>中华人民共和国</w:t>
      </w:r>
      <w:r>
        <w:rPr>
          <w:rFonts w:hint="eastAsia" w:ascii="仿宋_GB2312" w:hAnsi="仿宋" w:eastAsia="仿宋_GB2312" w:cs="仿宋_GB2312"/>
          <w:color w:val="auto"/>
          <w:sz w:val="32"/>
          <w:szCs w:val="32"/>
          <w:lang w:eastAsia="zh-CN"/>
        </w:rPr>
        <w:t>粮食安全保障法》</w:t>
      </w:r>
      <w:r>
        <w:rPr>
          <w:rFonts w:hint="eastAsia" w:ascii="仿宋_GB2312" w:hAnsi="仿宋" w:eastAsia="仿宋_GB2312" w:cs="仿宋_GB2312"/>
          <w:sz w:val="32"/>
          <w:szCs w:val="32"/>
        </w:rPr>
        <w:t>《中华人民共和国行政处罚法》《退耕还林条例》《粮食流通管理条例》《粮油仓储管理办法》《北京市储备粮管理办法》《国有粮油仓储物流设施保护办法》《粮食质量安全监管办法》</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政府粮食储备安全风险事项报告管理办法（试行）</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rPr>
        <w:t>等法</w:t>
      </w:r>
      <w:r>
        <w:rPr>
          <w:rFonts w:hint="eastAsia" w:ascii="仿宋_GB2312" w:hAnsi="仿宋" w:eastAsia="仿宋_GB2312" w:cs="仿宋_GB2312"/>
          <w:sz w:val="32"/>
          <w:szCs w:val="32"/>
        </w:rPr>
        <w:t>律、法规和规章，按照原市政府法制办</w:t>
      </w:r>
      <w:r>
        <w:rPr>
          <w:rFonts w:hint="eastAsia" w:ascii="仿宋_GB2312" w:eastAsia="仿宋_GB2312" w:cs="仿宋_GB2312"/>
          <w:sz w:val="32"/>
          <w:szCs w:val="32"/>
        </w:rPr>
        <w:t>《关于规范实施行政处罚裁量基准制度的若干指导意见》（京政法制发〔</w:t>
      </w:r>
      <w:r>
        <w:rPr>
          <w:rFonts w:ascii="仿宋_GB2312" w:eastAsia="仿宋_GB2312" w:cs="仿宋_GB2312"/>
          <w:sz w:val="32"/>
          <w:szCs w:val="32"/>
        </w:rPr>
        <w:t>2015</w:t>
      </w:r>
      <w:r>
        <w:rPr>
          <w:rFonts w:hint="eastAsia" w:ascii="仿宋_GB2312" w:eastAsia="仿宋_GB2312" w:cs="仿宋_GB2312"/>
          <w:sz w:val="32"/>
          <w:szCs w:val="32"/>
        </w:rPr>
        <w:t>〕</w:t>
      </w:r>
      <w:r>
        <w:rPr>
          <w:rFonts w:ascii="仿宋_GB2312" w:eastAsia="仿宋_GB2312" w:cs="仿宋_GB2312"/>
          <w:sz w:val="32"/>
          <w:szCs w:val="32"/>
        </w:rPr>
        <w:t>16</w:t>
      </w:r>
      <w:r>
        <w:rPr>
          <w:rFonts w:hint="eastAsia" w:ascii="仿宋_GB2312" w:eastAsia="仿宋_GB2312" w:cs="仿宋_GB2312"/>
          <w:sz w:val="32"/>
          <w:szCs w:val="32"/>
        </w:rPr>
        <w:t>号）要求，</w:t>
      </w:r>
      <w:r>
        <w:rPr>
          <w:rFonts w:hint="eastAsia" w:ascii="仿宋_GB2312" w:hAnsi="仿宋" w:eastAsia="仿宋_GB2312" w:cs="仿宋_GB2312"/>
          <w:sz w:val="32"/>
          <w:szCs w:val="32"/>
        </w:rPr>
        <w:t>结合粮食行政执法实际，制定本基准。</w:t>
      </w:r>
    </w:p>
    <w:p>
      <w:pPr>
        <w:keepNext w:val="0"/>
        <w:keepLines w:val="0"/>
        <w:pageBreakBefore w:val="0"/>
        <w:kinsoku/>
        <w:wordWrap/>
        <w:overflowPunct/>
        <w:topLinePunct w:val="0"/>
        <w:autoSpaceDE/>
        <w:autoSpaceDN/>
        <w:bidi w:val="0"/>
        <w:spacing w:line="520" w:lineRule="exact"/>
        <w:ind w:firstLine="636"/>
        <w:jc w:val="left"/>
        <w:textAlignment w:val="auto"/>
        <w:rPr>
          <w:rFonts w:ascii="仿宋_GB2312" w:hAnsi="仿宋" w:eastAsia="仿宋_GB2312" w:cs="Times New Roman"/>
          <w:sz w:val="32"/>
          <w:szCs w:val="32"/>
        </w:rPr>
      </w:pPr>
      <w:r>
        <w:rPr>
          <w:rFonts w:hint="eastAsia" w:ascii="黑体" w:hAnsi="黑体" w:eastAsia="黑体" w:cs="仿宋_GB2312"/>
          <w:sz w:val="32"/>
          <w:szCs w:val="32"/>
        </w:rPr>
        <w:t>第二条</w:t>
      </w:r>
      <w:r>
        <w:rPr>
          <w:rFonts w:hint="eastAsia" w:ascii="仿宋_GB2312" w:hAnsi="仿宋" w:eastAsia="仿宋_GB2312" w:cs="仿宋_GB2312"/>
          <w:sz w:val="32"/>
          <w:szCs w:val="32"/>
        </w:rPr>
        <w:t xml:space="preserve"> 本市各级粮食行政处罚部门在本</w:t>
      </w:r>
      <w:r>
        <w:rPr>
          <w:rFonts w:hint="eastAsia" w:ascii="仿宋_GB2312" w:hAnsi="仿宋" w:eastAsia="仿宋_GB2312" w:cs="仿宋_GB2312"/>
          <w:sz w:val="32"/>
          <w:szCs w:val="32"/>
          <w:lang w:eastAsia="zh-CN"/>
        </w:rPr>
        <w:t>市</w:t>
      </w:r>
      <w:r>
        <w:rPr>
          <w:rFonts w:hint="eastAsia" w:ascii="仿宋_GB2312" w:hAnsi="仿宋" w:eastAsia="仿宋_GB2312" w:cs="仿宋_GB2312"/>
          <w:sz w:val="32"/>
          <w:szCs w:val="32"/>
        </w:rPr>
        <w:t>行政区域内实施行政处罚时适用本基准。</w:t>
      </w:r>
    </w:p>
    <w:p>
      <w:pPr>
        <w:keepNext w:val="0"/>
        <w:keepLines w:val="0"/>
        <w:pageBreakBefore w:val="0"/>
        <w:kinsoku/>
        <w:wordWrap/>
        <w:overflowPunct/>
        <w:topLinePunct w:val="0"/>
        <w:autoSpaceDE/>
        <w:autoSpaceDN/>
        <w:bidi w:val="0"/>
        <w:spacing w:line="520" w:lineRule="exact"/>
        <w:ind w:firstLine="636"/>
        <w:jc w:val="left"/>
        <w:textAlignment w:val="auto"/>
        <w:rPr>
          <w:rFonts w:ascii="仿宋_GB2312" w:hAnsi="仿宋" w:eastAsia="仿宋_GB2312" w:cs="仿宋_GB2312"/>
          <w:sz w:val="32"/>
          <w:szCs w:val="32"/>
        </w:rPr>
      </w:pPr>
      <w:r>
        <w:rPr>
          <w:rFonts w:hint="eastAsia" w:ascii="黑体" w:hAnsi="黑体" w:eastAsia="黑体" w:cs="仿宋_GB2312"/>
          <w:sz w:val="32"/>
          <w:szCs w:val="32"/>
        </w:rPr>
        <w:t>第三条</w:t>
      </w:r>
      <w:r>
        <w:rPr>
          <w:rFonts w:hint="eastAsia" w:ascii="仿宋_GB2312" w:hAnsi="仿宋" w:eastAsia="仿宋_GB2312" w:cs="仿宋_GB2312"/>
          <w:sz w:val="32"/>
          <w:szCs w:val="32"/>
        </w:rPr>
        <w:t xml:space="preserve"> 本基准所称各级粮食行政处罚部门，是指市级粮食</w:t>
      </w:r>
      <w:r>
        <w:rPr>
          <w:rFonts w:hint="eastAsia" w:ascii="仿宋_GB2312" w:hAnsi="仿宋" w:eastAsia="仿宋_GB2312" w:cs="仿宋_GB2312"/>
          <w:sz w:val="32"/>
          <w:szCs w:val="32"/>
          <w:lang w:eastAsia="zh-CN"/>
        </w:rPr>
        <w:t>和储备</w:t>
      </w:r>
      <w:r>
        <w:rPr>
          <w:rFonts w:hint="eastAsia" w:ascii="仿宋_GB2312" w:hAnsi="仿宋" w:eastAsia="仿宋_GB2312" w:cs="仿宋_GB2312"/>
          <w:sz w:val="32"/>
          <w:szCs w:val="32"/>
        </w:rPr>
        <w:t>行政管理部门和各区市场监督管理部门。</w:t>
      </w:r>
    </w:p>
    <w:p>
      <w:pPr>
        <w:keepNext w:val="0"/>
        <w:keepLines w:val="0"/>
        <w:pageBreakBefore w:val="0"/>
        <w:kinsoku/>
        <w:wordWrap/>
        <w:overflowPunct/>
        <w:topLinePunct w:val="0"/>
        <w:autoSpaceDE/>
        <w:autoSpaceDN/>
        <w:bidi w:val="0"/>
        <w:spacing w:line="520" w:lineRule="exact"/>
        <w:ind w:firstLine="636"/>
        <w:jc w:val="left"/>
        <w:textAlignment w:val="auto"/>
        <w:rPr>
          <w:rFonts w:ascii="仿宋_GB2312" w:hAnsi="仿宋" w:eastAsia="仿宋_GB2312" w:cs="Times New Roman"/>
          <w:sz w:val="32"/>
          <w:szCs w:val="32"/>
        </w:rPr>
      </w:pPr>
      <w:r>
        <w:rPr>
          <w:rFonts w:hint="eastAsia" w:ascii="黑体" w:hAnsi="黑体" w:eastAsia="黑体" w:cs="仿宋_GB2312"/>
          <w:sz w:val="32"/>
          <w:szCs w:val="32"/>
        </w:rPr>
        <w:t>第四条</w:t>
      </w:r>
      <w:r>
        <w:rPr>
          <w:rFonts w:hint="eastAsia" w:ascii="仿宋_GB2312" w:hAnsi="仿宋" w:eastAsia="仿宋_GB2312" w:cs="仿宋_GB2312"/>
          <w:sz w:val="32"/>
          <w:szCs w:val="32"/>
        </w:rPr>
        <w:t xml:space="preserve"> 本基准中各类违法行为依据社会危害性划定为</w:t>
      </w:r>
      <w:r>
        <w:rPr>
          <w:rFonts w:ascii="仿宋_GB2312" w:hAnsi="仿宋" w:eastAsia="仿宋_GB2312" w:cs="仿宋_GB2312"/>
          <w:sz w:val="32"/>
          <w:szCs w:val="32"/>
        </w:rPr>
        <w:t>A</w:t>
      </w:r>
      <w:r>
        <w:rPr>
          <w:rFonts w:hint="eastAsia" w:ascii="仿宋_GB2312" w:hAnsi="仿宋" w:eastAsia="仿宋_GB2312" w:cs="仿宋_GB2312"/>
          <w:sz w:val="32"/>
          <w:szCs w:val="32"/>
        </w:rPr>
        <w:t>、</w:t>
      </w:r>
      <w:r>
        <w:rPr>
          <w:rFonts w:ascii="仿宋_GB2312" w:hAnsi="仿宋" w:eastAsia="仿宋_GB2312" w:cs="仿宋_GB2312"/>
          <w:sz w:val="32"/>
          <w:szCs w:val="32"/>
        </w:rPr>
        <w:t>B</w:t>
      </w:r>
      <w:r>
        <w:rPr>
          <w:rFonts w:hint="eastAsia" w:ascii="仿宋_GB2312" w:hAnsi="仿宋" w:eastAsia="仿宋_GB2312" w:cs="仿宋_GB2312"/>
          <w:sz w:val="32"/>
          <w:szCs w:val="32"/>
        </w:rPr>
        <w:t>、</w:t>
      </w:r>
      <w:r>
        <w:rPr>
          <w:rFonts w:ascii="仿宋_GB2312" w:hAnsi="仿宋" w:eastAsia="仿宋_GB2312" w:cs="仿宋_GB2312"/>
          <w:sz w:val="32"/>
          <w:szCs w:val="32"/>
        </w:rPr>
        <w:t>C</w:t>
      </w:r>
      <w:r>
        <w:rPr>
          <w:rFonts w:hint="eastAsia" w:ascii="仿宋_GB2312" w:hAnsi="仿宋" w:eastAsia="仿宋_GB2312" w:cs="仿宋_GB2312"/>
          <w:sz w:val="32"/>
          <w:szCs w:val="32"/>
        </w:rPr>
        <w:t>三个基础裁量档次。</w:t>
      </w:r>
      <w:r>
        <w:rPr>
          <w:rFonts w:hint="eastAsia" w:ascii="仿宋_GB2312" w:hAnsi="仿宋" w:eastAsia="仿宋_GB2312" w:cs="仿宋_GB2312"/>
          <w:sz w:val="32"/>
          <w:szCs w:val="32"/>
          <w:lang w:eastAsia="zh-CN"/>
        </w:rPr>
        <w:t>其中，“</w:t>
      </w:r>
      <w:r>
        <w:rPr>
          <w:rFonts w:hint="eastAsia" w:ascii="仿宋_GB2312" w:hAnsi="仿宋" w:eastAsia="仿宋_GB2312" w:cs="仿宋_GB2312"/>
          <w:sz w:val="32"/>
          <w:szCs w:val="32"/>
        </w:rPr>
        <w:t>违法行为本身社会危害性严重的”对应</w:t>
      </w:r>
      <w:r>
        <w:rPr>
          <w:rFonts w:ascii="仿宋_GB2312" w:hAnsi="仿宋" w:eastAsia="仿宋_GB2312" w:cs="仿宋_GB2312"/>
          <w:sz w:val="32"/>
          <w:szCs w:val="32"/>
        </w:rPr>
        <w:t>A</w:t>
      </w:r>
      <w:r>
        <w:rPr>
          <w:rFonts w:hint="eastAsia" w:ascii="仿宋_GB2312" w:hAnsi="仿宋" w:eastAsia="仿宋_GB2312" w:cs="仿宋_GB2312"/>
          <w:sz w:val="32"/>
          <w:szCs w:val="32"/>
        </w:rPr>
        <w:t>档，“违法行为本身社会危害性一般的”对应</w:t>
      </w:r>
      <w:r>
        <w:rPr>
          <w:rFonts w:ascii="仿宋_GB2312" w:hAnsi="仿宋" w:eastAsia="仿宋_GB2312" w:cs="仿宋_GB2312"/>
          <w:sz w:val="32"/>
          <w:szCs w:val="32"/>
        </w:rPr>
        <w:t>B</w:t>
      </w:r>
      <w:r>
        <w:rPr>
          <w:rFonts w:hint="eastAsia" w:ascii="仿宋_GB2312" w:hAnsi="仿宋" w:eastAsia="仿宋_GB2312" w:cs="仿宋_GB2312"/>
          <w:sz w:val="32"/>
          <w:szCs w:val="32"/>
        </w:rPr>
        <w:t>档</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违法行为本身社会危害性轻微的”对应</w:t>
      </w:r>
      <w:r>
        <w:rPr>
          <w:rFonts w:ascii="仿宋_GB2312" w:hAnsi="仿宋" w:eastAsia="仿宋_GB2312" w:cs="仿宋_GB2312"/>
          <w:sz w:val="32"/>
          <w:szCs w:val="32"/>
        </w:rPr>
        <w:t>C</w:t>
      </w:r>
      <w:r>
        <w:rPr>
          <w:rFonts w:hint="eastAsia" w:ascii="仿宋_GB2312" w:hAnsi="仿宋" w:eastAsia="仿宋_GB2312" w:cs="仿宋_GB2312"/>
          <w:sz w:val="32"/>
          <w:szCs w:val="32"/>
        </w:rPr>
        <w:t>档。</w:t>
      </w:r>
    </w:p>
    <w:p>
      <w:pPr>
        <w:keepNext w:val="0"/>
        <w:keepLines w:val="0"/>
        <w:pageBreakBefore w:val="0"/>
        <w:kinsoku/>
        <w:wordWrap/>
        <w:overflowPunct/>
        <w:topLinePunct w:val="0"/>
        <w:autoSpaceDE/>
        <w:autoSpaceDN/>
        <w:bidi w:val="0"/>
        <w:spacing w:line="520" w:lineRule="exact"/>
        <w:ind w:firstLine="636"/>
        <w:jc w:val="left"/>
        <w:textAlignment w:val="auto"/>
        <w:rPr>
          <w:rFonts w:ascii="仿宋_GB2312" w:hAnsi="仿宋" w:eastAsia="仿宋_GB2312" w:cs="Times New Roman"/>
          <w:b/>
          <w:bCs/>
          <w:sz w:val="32"/>
          <w:szCs w:val="32"/>
        </w:rPr>
      </w:pPr>
      <w:r>
        <w:rPr>
          <w:rFonts w:hint="eastAsia" w:ascii="黑体" w:hAnsi="黑体" w:eastAsia="黑体" w:cs="仿宋_GB2312"/>
          <w:sz w:val="32"/>
          <w:szCs w:val="32"/>
        </w:rPr>
        <w:t>第五条</w:t>
      </w:r>
      <w:r>
        <w:rPr>
          <w:rFonts w:hint="eastAsia" w:ascii="仿宋_GB2312" w:hAnsi="仿宋" w:eastAsia="仿宋_GB2312" w:cs="仿宋_GB2312"/>
          <w:sz w:val="32"/>
          <w:szCs w:val="32"/>
        </w:rPr>
        <w:t xml:space="preserve"> 本基准中，裁量档内根据违法情节轻重划分多个处罚裁量阶</w:t>
      </w:r>
      <w:r>
        <w:rPr>
          <w:rFonts w:hint="eastAsia" w:ascii="仿宋_GB2312" w:hAnsi="仿宋" w:eastAsia="仿宋_GB2312" w:cs="仿宋_GB2312"/>
          <w:sz w:val="32"/>
          <w:szCs w:val="32"/>
          <w:lang w:eastAsia="zh-CN"/>
        </w:rPr>
        <w:t>次</w:t>
      </w:r>
      <w:r>
        <w:rPr>
          <w:rFonts w:hint="eastAsia" w:ascii="仿宋_GB2312" w:hAnsi="仿宋" w:eastAsia="仿宋_GB2312" w:cs="仿宋_GB2312"/>
          <w:sz w:val="32"/>
          <w:szCs w:val="32"/>
        </w:rPr>
        <w:t>，分阶编号01、02、03</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04</w:t>
      </w:r>
      <w:r>
        <w:rPr>
          <w:rFonts w:hint="eastAsia" w:ascii="仿宋_GB2312" w:hAnsi="仿宋" w:eastAsia="仿宋_GB2312" w:cs="仿宋_GB2312"/>
          <w:sz w:val="32"/>
          <w:szCs w:val="32"/>
        </w:rPr>
        <w:t>代表违法情节由轻到重、处罚阶次由低到高。</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pPr>
      <w:r>
        <w:rPr>
          <w:rFonts w:hint="eastAsia" w:ascii="黑体" w:hAnsi="黑体" w:eastAsia="黑体" w:cs="仿宋_GB2312"/>
          <w:sz w:val="32"/>
          <w:szCs w:val="32"/>
          <w:highlight w:val="none"/>
        </w:rPr>
        <w:t>第</w:t>
      </w:r>
      <w:r>
        <w:rPr>
          <w:rFonts w:hint="eastAsia" w:ascii="黑体" w:hAnsi="黑体" w:eastAsia="黑体" w:cs="仿宋_GB2312"/>
          <w:sz w:val="32"/>
          <w:szCs w:val="32"/>
          <w:highlight w:val="none"/>
          <w:lang w:eastAsia="zh-CN"/>
        </w:rPr>
        <w:t>六</w:t>
      </w:r>
      <w:r>
        <w:rPr>
          <w:rFonts w:hint="eastAsia" w:ascii="黑体" w:hAnsi="黑体" w:eastAsia="黑体" w:cs="仿宋_GB2312"/>
          <w:sz w:val="32"/>
          <w:szCs w:val="32"/>
          <w:highlight w:val="none"/>
        </w:rPr>
        <w:t>条</w:t>
      </w:r>
      <w:r>
        <w:rPr>
          <w:rFonts w:hint="eastAsia" w:ascii="仿宋_GB2312" w:hAnsi="仿宋" w:eastAsia="仿宋_GB2312" w:cs="仿宋_GB2312"/>
          <w:sz w:val="32"/>
          <w:szCs w:val="32"/>
          <w:highlight w:val="none"/>
        </w:rPr>
        <w:t xml:space="preserve"> </w:t>
      </w:r>
      <w:r>
        <w:rPr>
          <w:rFonts w:hint="eastAsia" w:ascii="仿宋_GB2312" w:hAnsi="仿宋" w:eastAsia="仿宋_GB2312" w:cs="仿宋_GB2312"/>
          <w:sz w:val="32"/>
          <w:szCs w:val="32"/>
        </w:rPr>
        <w:t>各级粮食行政处罚部门</w:t>
      </w:r>
      <w:r>
        <w:rPr>
          <w:rFonts w:ascii="仿宋_GB2312" w:hAnsi="仿宋_GB2312" w:eastAsia="仿宋_GB2312" w:cs="仿宋_GB2312"/>
          <w:sz w:val="32"/>
        </w:rPr>
        <w:t>实施行政处罚时，应当责令当事人改正或者限期改正违法行为。</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pPr>
      <w:r>
        <w:rPr>
          <w:rFonts w:ascii="仿宋_GB2312" w:hAnsi="仿宋_GB2312" w:eastAsia="仿宋_GB2312" w:cs="仿宋_GB2312"/>
          <w:sz w:val="32"/>
        </w:rPr>
        <w:t>当事人有违法所得，除依法应当退赔的外，应当予以没收。违法所得是指实施违法行为所取得的款项。法律、行政法规、部门规章对违法所得的计算另有规定的，从其规定。</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pPr>
      <w:r>
        <w:rPr>
          <w:rFonts w:hint="eastAsia" w:ascii="黑体" w:hAnsi="黑体" w:eastAsia="黑体" w:cs="仿宋_GB2312"/>
          <w:sz w:val="32"/>
          <w:szCs w:val="32"/>
          <w:highlight w:val="none"/>
        </w:rPr>
        <w:t>第</w:t>
      </w:r>
      <w:r>
        <w:rPr>
          <w:rFonts w:hint="eastAsia" w:ascii="黑体" w:hAnsi="黑体" w:eastAsia="黑体" w:cs="仿宋_GB2312"/>
          <w:sz w:val="32"/>
          <w:szCs w:val="32"/>
          <w:highlight w:val="none"/>
          <w:lang w:eastAsia="zh-CN"/>
        </w:rPr>
        <w:t>七</w:t>
      </w:r>
      <w:r>
        <w:rPr>
          <w:rFonts w:hint="eastAsia" w:ascii="黑体" w:hAnsi="黑体" w:eastAsia="黑体" w:cs="仿宋_GB2312"/>
          <w:sz w:val="32"/>
          <w:szCs w:val="32"/>
          <w:highlight w:val="none"/>
        </w:rPr>
        <w:t>条</w:t>
      </w:r>
      <w:r>
        <w:rPr>
          <w:rFonts w:hint="eastAsia" w:ascii="仿宋_GB2312" w:hAnsi="仿宋" w:eastAsia="仿宋_GB2312" w:cs="仿宋_GB2312"/>
          <w:sz w:val="32"/>
          <w:szCs w:val="32"/>
          <w:highlight w:val="none"/>
        </w:rPr>
        <w:t xml:space="preserve"> </w:t>
      </w:r>
      <w:r>
        <w:rPr>
          <w:rFonts w:ascii="仿宋_GB2312" w:hAnsi="仿宋_GB2312" w:eastAsia="仿宋_GB2312" w:cs="仿宋_GB2312"/>
          <w:sz w:val="32"/>
        </w:rPr>
        <w:t>对当事人的同一个违法行为，不得给予两次以上罚款的行政处罚。同一个违法行为违反多个法律规范应当给予罚款处罚的，按照罚款数额高的规定处罚。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仿宋" w:eastAsia="仿宋_GB2312" w:cs="Times New Roman"/>
          <w:sz w:val="32"/>
          <w:szCs w:val="32"/>
        </w:rPr>
      </w:pPr>
      <w:r>
        <w:rPr>
          <w:rFonts w:hint="eastAsia" w:ascii="黑体" w:hAnsi="黑体" w:eastAsia="黑体" w:cs="仿宋_GB2312"/>
          <w:sz w:val="32"/>
          <w:szCs w:val="32"/>
          <w:highlight w:val="none"/>
        </w:rPr>
        <w:t>第</w:t>
      </w:r>
      <w:r>
        <w:rPr>
          <w:rFonts w:hint="eastAsia" w:ascii="黑体" w:hAnsi="黑体" w:eastAsia="黑体" w:cs="仿宋_GB2312"/>
          <w:sz w:val="32"/>
          <w:szCs w:val="32"/>
          <w:highlight w:val="none"/>
          <w:lang w:eastAsia="zh-CN"/>
        </w:rPr>
        <w:t>八</w:t>
      </w:r>
      <w:r>
        <w:rPr>
          <w:rFonts w:hint="eastAsia" w:ascii="黑体" w:hAnsi="黑体" w:eastAsia="黑体" w:cs="仿宋_GB2312"/>
          <w:sz w:val="32"/>
          <w:szCs w:val="32"/>
          <w:highlight w:val="none"/>
        </w:rPr>
        <w:t>条</w:t>
      </w:r>
      <w:r>
        <w:rPr>
          <w:rFonts w:hint="eastAsia" w:ascii="黑体" w:hAnsi="黑体" w:eastAsia="黑体" w:cs="仿宋_GB2312"/>
          <w:sz w:val="32"/>
          <w:szCs w:val="32"/>
          <w:highlight w:val="none"/>
          <w:lang w:val="en-US" w:eastAsia="zh-CN"/>
        </w:rPr>
        <w:t xml:space="preserve"> </w:t>
      </w:r>
      <w:r>
        <w:rPr>
          <w:rFonts w:hint="eastAsia" w:ascii="仿宋_GB2312" w:hAnsi="仿宋" w:eastAsia="仿宋_GB2312" w:cs="仿宋_GB2312"/>
          <w:sz w:val="32"/>
          <w:szCs w:val="32"/>
        </w:rPr>
        <w:t>当事人有下列情形之一，应当依法从轻或者减轻行政处罚：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仿宋" w:eastAsia="仿宋_GB2312" w:cs="Times New Roman"/>
          <w:sz w:val="32"/>
          <w:szCs w:val="32"/>
        </w:rPr>
      </w:pPr>
      <w:r>
        <w:rPr>
          <w:rFonts w:hint="eastAsia" w:ascii="仿宋_GB2312" w:hAnsi="仿宋" w:eastAsia="仿宋_GB2312" w:cs="仿宋_GB2312"/>
          <w:sz w:val="32"/>
          <w:szCs w:val="32"/>
        </w:rPr>
        <w:t>（一）主动消除或者减轻违法行为危害后果的；</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pPr>
      <w:r>
        <w:rPr>
          <w:rFonts w:ascii="仿宋_GB2312" w:hAnsi="仿宋_GB2312" w:eastAsia="仿宋_GB2312" w:cs="仿宋_GB2312"/>
          <w:sz w:val="32"/>
        </w:rPr>
        <w:t>（二）受他人胁迫或者诱骗实施违法行为的；</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pPr>
      <w:r>
        <w:rPr>
          <w:rFonts w:ascii="仿宋_GB2312" w:hAnsi="仿宋_GB2312" w:eastAsia="仿宋_GB2312" w:cs="仿宋_GB2312"/>
          <w:sz w:val="32"/>
        </w:rPr>
        <w:t>（三）主动供述行政机关尚未掌握的违法行为的；</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pPr>
      <w:r>
        <w:rPr>
          <w:rFonts w:ascii="仿宋_GB2312" w:hAnsi="仿宋_GB2312" w:eastAsia="仿宋_GB2312" w:cs="仿宋_GB2312"/>
          <w:sz w:val="32"/>
        </w:rPr>
        <w:t>（四）配合行政机关查处违法行为有立功表现的；</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pPr>
      <w:r>
        <w:rPr>
          <w:rFonts w:ascii="仿宋_GB2312" w:hAnsi="仿宋_GB2312" w:eastAsia="仿宋_GB2312" w:cs="仿宋_GB2312"/>
          <w:sz w:val="32"/>
        </w:rPr>
        <w:t>（五）法律、法规、规章规定其他应当从轻或者减轻行政处罚的。</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pPr>
      <w:r>
        <w:rPr>
          <w:rFonts w:hint="eastAsia" w:ascii="黑体" w:hAnsi="黑体" w:eastAsia="黑体" w:cs="仿宋_GB2312"/>
          <w:sz w:val="32"/>
          <w:szCs w:val="32"/>
          <w:highlight w:val="none"/>
        </w:rPr>
        <w:t>第</w:t>
      </w:r>
      <w:r>
        <w:rPr>
          <w:rFonts w:hint="eastAsia" w:ascii="黑体" w:hAnsi="黑体" w:eastAsia="黑体" w:cs="仿宋_GB2312"/>
          <w:sz w:val="32"/>
          <w:szCs w:val="32"/>
          <w:highlight w:val="none"/>
          <w:lang w:eastAsia="zh-CN"/>
        </w:rPr>
        <w:t>九</w:t>
      </w:r>
      <w:r>
        <w:rPr>
          <w:rFonts w:hint="eastAsia" w:ascii="黑体" w:hAnsi="黑体" w:eastAsia="黑体" w:cs="仿宋_GB2312"/>
          <w:sz w:val="32"/>
          <w:szCs w:val="32"/>
          <w:highlight w:val="none"/>
        </w:rPr>
        <w:t>条</w:t>
      </w:r>
      <w:r>
        <w:rPr>
          <w:rFonts w:hint="eastAsia" w:ascii="黑体" w:hAnsi="黑体" w:eastAsia="黑体" w:cs="仿宋_GB2312"/>
          <w:sz w:val="32"/>
          <w:szCs w:val="32"/>
          <w:highlight w:val="none"/>
          <w:lang w:val="en-US" w:eastAsia="zh-CN"/>
        </w:rPr>
        <w:t xml:space="preserve"> </w:t>
      </w:r>
      <w:r>
        <w:rPr>
          <w:rFonts w:ascii="仿宋_GB2312" w:hAnsi="仿宋_GB2312" w:eastAsia="仿宋_GB2312" w:cs="仿宋_GB2312"/>
          <w:sz w:val="32"/>
        </w:rPr>
        <w:t>违法行为轻微并及时改正，没有造成危害后果的，不予行政处罚。初次违法且危害后果轻微并及时改正的，可以不予行政处罚。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pPr>
      <w:r>
        <w:rPr>
          <w:rFonts w:ascii="仿宋_GB2312" w:hAnsi="仿宋_GB2312" w:eastAsia="仿宋_GB2312" w:cs="仿宋_GB2312"/>
          <w:sz w:val="32"/>
        </w:rPr>
        <w:t>当事人有证据足以证明没有主观过错的，不予行政处罚。法律、行政法规另有规定的，从其规定。</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32"/>
        </w:rPr>
      </w:pPr>
      <w:r>
        <w:rPr>
          <w:rFonts w:ascii="仿宋_GB2312" w:hAnsi="仿宋_GB2312" w:eastAsia="仿宋_GB2312" w:cs="仿宋_GB2312"/>
          <w:sz w:val="32"/>
        </w:rPr>
        <w:t>对当事人的违法行为依法不予行政处罚的，应当对当事人进行教育。</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pPr>
      <w:r>
        <w:rPr>
          <w:rFonts w:hint="eastAsia" w:ascii="黑体" w:hAnsi="黑体" w:eastAsia="黑体" w:cs="仿宋_GB2312"/>
          <w:sz w:val="32"/>
          <w:szCs w:val="32"/>
          <w:highlight w:val="none"/>
        </w:rPr>
        <w:t>第</w:t>
      </w:r>
      <w:r>
        <w:rPr>
          <w:rFonts w:hint="eastAsia" w:ascii="黑体" w:hAnsi="黑体" w:eastAsia="黑体" w:cs="仿宋_GB2312"/>
          <w:sz w:val="32"/>
          <w:szCs w:val="32"/>
          <w:highlight w:val="none"/>
          <w:lang w:eastAsia="zh-CN"/>
        </w:rPr>
        <w:t>十</w:t>
      </w:r>
      <w:r>
        <w:rPr>
          <w:rFonts w:hint="eastAsia" w:ascii="黑体" w:hAnsi="黑体" w:eastAsia="黑体" w:cs="仿宋_GB2312"/>
          <w:sz w:val="32"/>
          <w:szCs w:val="32"/>
          <w:highlight w:val="none"/>
        </w:rPr>
        <w:t>条</w:t>
      </w:r>
      <w:r>
        <w:rPr>
          <w:rFonts w:hint="eastAsia" w:ascii="黑体" w:hAnsi="黑体" w:eastAsia="黑体" w:cs="仿宋_GB2312"/>
          <w:sz w:val="32"/>
          <w:szCs w:val="32"/>
          <w:highlight w:val="none"/>
          <w:lang w:val="en-US" w:eastAsia="zh-CN"/>
        </w:rPr>
        <w:t xml:space="preserve"> </w:t>
      </w:r>
      <w:r>
        <w:rPr>
          <w:rFonts w:ascii="仿宋_GB2312" w:hAnsi="仿宋_GB2312" w:eastAsia="仿宋_GB2312" w:cs="仿宋_GB2312"/>
          <w:sz w:val="32"/>
        </w:rPr>
        <w:t>实施行政处罚，适用违法行为发生时的法律、法规、规章的规定。但是，作出行政处罚决定时，法律、法规、规章已被修改或者废止，且新的规定处罚较轻或者不认为是违法的，适用新的规定。</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ascii="仿宋_GB2312" w:hAnsi="仿宋_GB2312" w:eastAsia="仿宋_GB2312" w:cs="仿宋_GB2312"/>
          <w:sz w:val="32"/>
        </w:rPr>
      </w:pPr>
      <w:r>
        <w:rPr>
          <w:rFonts w:hint="eastAsia" w:ascii="黑体" w:hAnsi="黑体" w:eastAsia="黑体" w:cs="仿宋_GB2312"/>
          <w:sz w:val="32"/>
          <w:szCs w:val="32"/>
          <w:highlight w:val="none"/>
        </w:rPr>
        <w:t>第</w:t>
      </w:r>
      <w:r>
        <w:rPr>
          <w:rFonts w:hint="eastAsia" w:ascii="黑体" w:hAnsi="黑体" w:eastAsia="黑体" w:cs="仿宋_GB2312"/>
          <w:sz w:val="32"/>
          <w:szCs w:val="32"/>
          <w:highlight w:val="none"/>
          <w:lang w:eastAsia="zh-CN"/>
        </w:rPr>
        <w:t>十一</w:t>
      </w:r>
      <w:r>
        <w:rPr>
          <w:rFonts w:hint="eastAsia" w:ascii="黑体" w:hAnsi="黑体" w:eastAsia="黑体" w:cs="仿宋_GB2312"/>
          <w:sz w:val="32"/>
          <w:szCs w:val="32"/>
          <w:highlight w:val="none"/>
        </w:rPr>
        <w:t>条</w:t>
      </w:r>
      <w:r>
        <w:rPr>
          <w:rFonts w:hint="eastAsia" w:ascii="黑体" w:hAnsi="黑体" w:eastAsia="黑体" w:cs="仿宋_GB2312"/>
          <w:sz w:val="32"/>
          <w:szCs w:val="32"/>
          <w:highlight w:val="none"/>
          <w:lang w:val="en-US" w:eastAsia="zh-CN"/>
        </w:rPr>
        <w:t xml:space="preserve"> </w:t>
      </w:r>
      <w:r>
        <w:rPr>
          <w:rFonts w:hint="eastAsia" w:ascii="仿宋_GB2312" w:hAnsi="仿宋" w:eastAsia="仿宋_GB2312" w:cs="仿宋_GB2312"/>
          <w:sz w:val="32"/>
          <w:szCs w:val="32"/>
        </w:rPr>
        <w:t>各级粮食行政处罚部门</w:t>
      </w:r>
      <w:r>
        <w:rPr>
          <w:rFonts w:ascii="仿宋_GB2312" w:hAnsi="仿宋_GB2312" w:eastAsia="仿宋_GB2312" w:cs="仿宋_GB2312"/>
          <w:sz w:val="32"/>
        </w:rPr>
        <w:t>在作出行政处罚决定之前，应当告知当事人拟作出的行政处罚内容及事实、理由、依据，并告知当事人依法享有的陈述、申辩、要求听证等权利。</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rPr>
          <w:rFonts w:hint="eastAsia" w:ascii="仿宋_GB2312" w:hAnsi="仿宋_GB2312" w:eastAsia="黑体" w:cs="仿宋_GB2312"/>
          <w:sz w:val="32"/>
          <w:lang w:val="en-US" w:eastAsia="zh-CN"/>
        </w:rPr>
      </w:pPr>
      <w:r>
        <w:rPr>
          <w:rFonts w:hint="eastAsia" w:ascii="黑体" w:hAnsi="黑体" w:eastAsia="黑体" w:cs="仿宋_GB2312"/>
          <w:sz w:val="32"/>
          <w:szCs w:val="32"/>
          <w:highlight w:val="none"/>
        </w:rPr>
        <w:t>第</w:t>
      </w:r>
      <w:r>
        <w:rPr>
          <w:rFonts w:hint="eastAsia" w:ascii="黑体" w:hAnsi="黑体" w:eastAsia="黑体" w:cs="仿宋_GB2312"/>
          <w:sz w:val="32"/>
          <w:szCs w:val="32"/>
          <w:highlight w:val="none"/>
          <w:lang w:eastAsia="zh-CN"/>
        </w:rPr>
        <w:t>十二</w:t>
      </w:r>
      <w:r>
        <w:rPr>
          <w:rFonts w:hint="eastAsia" w:ascii="黑体" w:hAnsi="黑体" w:eastAsia="黑体" w:cs="仿宋_GB2312"/>
          <w:sz w:val="32"/>
          <w:szCs w:val="32"/>
          <w:highlight w:val="none"/>
        </w:rPr>
        <w:t>条</w:t>
      </w:r>
      <w:r>
        <w:rPr>
          <w:rFonts w:hint="eastAsia" w:ascii="黑体" w:hAnsi="黑体" w:eastAsia="黑体" w:cs="仿宋_GB2312"/>
          <w:sz w:val="32"/>
          <w:szCs w:val="32"/>
          <w:highlight w:val="none"/>
          <w:lang w:val="en-US" w:eastAsia="zh-CN"/>
        </w:rPr>
        <w:t xml:space="preserve"> </w:t>
      </w:r>
      <w:r>
        <w:rPr>
          <w:rFonts w:hint="eastAsia" w:ascii="仿宋_GB2312" w:hAnsi="仿宋" w:eastAsia="仿宋_GB2312" w:cs="仿宋_GB2312"/>
          <w:sz w:val="32"/>
          <w:szCs w:val="32"/>
        </w:rPr>
        <w:t>各级粮食行政处罚部门</w:t>
      </w:r>
      <w:r>
        <w:rPr>
          <w:rFonts w:ascii="仿宋_GB2312" w:hAnsi="仿宋_GB2312" w:eastAsia="仿宋_GB2312" w:cs="仿宋_GB2312"/>
          <w:sz w:val="32"/>
        </w:rPr>
        <w:t>必须充分听取当事人的陈述和申辩意见，对当事人提出的事实、理由和证据，应当进行复核；当事人提出的事实、理由或者证据成立的，应当采纳。不得因当事人陈述、申辩而给予更重的处罚。</w:t>
      </w:r>
    </w:p>
    <w:p>
      <w:pPr>
        <w:keepNext w:val="0"/>
        <w:keepLines w:val="0"/>
        <w:pageBreakBefore w:val="0"/>
        <w:widowControl w:val="0"/>
        <w:kinsoku/>
        <w:wordWrap/>
        <w:overflowPunct/>
        <w:topLinePunct w:val="0"/>
        <w:autoSpaceDE/>
        <w:autoSpaceDN/>
        <w:bidi w:val="0"/>
        <w:adjustRightInd/>
        <w:snapToGrid/>
        <w:spacing w:line="520" w:lineRule="exact"/>
        <w:ind w:firstLine="640"/>
        <w:jc w:val="both"/>
        <w:textAlignment w:val="auto"/>
      </w:pPr>
      <w:r>
        <w:rPr>
          <w:rFonts w:hint="eastAsia" w:ascii="黑体" w:hAnsi="黑体" w:eastAsia="黑体" w:cs="仿宋_GB2312"/>
          <w:sz w:val="32"/>
          <w:szCs w:val="32"/>
          <w:highlight w:val="none"/>
        </w:rPr>
        <w:t>第</w:t>
      </w:r>
      <w:r>
        <w:rPr>
          <w:rFonts w:hint="eastAsia" w:ascii="黑体" w:hAnsi="黑体" w:eastAsia="黑体" w:cs="仿宋_GB2312"/>
          <w:sz w:val="32"/>
          <w:szCs w:val="32"/>
          <w:highlight w:val="none"/>
          <w:lang w:eastAsia="zh-CN"/>
        </w:rPr>
        <w:t>十三</w:t>
      </w:r>
      <w:r>
        <w:rPr>
          <w:rFonts w:hint="eastAsia" w:ascii="黑体" w:hAnsi="黑体" w:eastAsia="黑体" w:cs="仿宋_GB2312"/>
          <w:sz w:val="32"/>
          <w:szCs w:val="32"/>
          <w:highlight w:val="none"/>
        </w:rPr>
        <w:t>条</w:t>
      </w:r>
      <w:r>
        <w:rPr>
          <w:rFonts w:hint="eastAsia" w:ascii="黑体" w:hAnsi="黑体" w:eastAsia="黑体" w:cs="仿宋_GB2312"/>
          <w:sz w:val="32"/>
          <w:szCs w:val="32"/>
          <w:highlight w:val="none"/>
          <w:lang w:val="en-US" w:eastAsia="zh-CN"/>
        </w:rPr>
        <w:t xml:space="preserve"> </w:t>
      </w:r>
      <w:r>
        <w:rPr>
          <w:rFonts w:ascii="仿宋_GB2312" w:hAnsi="仿宋_GB2312" w:eastAsia="仿宋_GB2312" w:cs="仿宋_GB2312"/>
          <w:sz w:val="32"/>
        </w:rPr>
        <w:t>发生重大传染病疫情等突发事件，为了控制、减轻和消除突发事件引起的社会危害，对违反突发事件应对措施的行为，依法快速、从重处罚。</w:t>
      </w:r>
    </w:p>
    <w:p>
      <w:pPr>
        <w:spacing w:line="560" w:lineRule="exact"/>
        <w:ind w:firstLine="640" w:firstLineChars="200"/>
        <w:rPr>
          <w:rFonts w:hint="eastAsia" w:ascii="仿宋_GB2312" w:hAnsi="仿宋_GB2312" w:eastAsia="仿宋_GB2312" w:cs="仿宋_GB2312"/>
          <w:sz w:val="32"/>
        </w:rPr>
      </w:pPr>
      <w:r>
        <w:rPr>
          <w:rFonts w:hint="eastAsia" w:ascii="黑体" w:hAnsi="黑体" w:eastAsia="黑体" w:cs="仿宋_GB2312"/>
          <w:color w:val="000000" w:themeColor="text1"/>
          <w:sz w:val="32"/>
          <w:szCs w:val="32"/>
          <w14:textFill>
            <w14:solidFill>
              <w14:schemeClr w14:val="tx1"/>
            </w14:solidFill>
          </w14:textFill>
        </w:rPr>
        <w:t>第</w:t>
      </w:r>
      <w:r>
        <w:rPr>
          <w:rFonts w:hint="eastAsia" w:ascii="黑体" w:hAnsi="黑体" w:eastAsia="黑体" w:cs="仿宋_GB2312"/>
          <w:color w:val="000000" w:themeColor="text1"/>
          <w:sz w:val="32"/>
          <w:szCs w:val="32"/>
          <w:lang w:eastAsia="zh-CN"/>
          <w14:textFill>
            <w14:solidFill>
              <w14:schemeClr w14:val="tx1"/>
            </w14:solidFill>
          </w14:textFill>
        </w:rPr>
        <w:t>十四</w:t>
      </w:r>
      <w:r>
        <w:rPr>
          <w:rFonts w:hint="eastAsia" w:ascii="黑体" w:hAnsi="黑体" w:eastAsia="黑体" w:cs="仿宋_GB2312"/>
          <w:color w:val="000000" w:themeColor="text1"/>
          <w:sz w:val="32"/>
          <w:szCs w:val="32"/>
          <w14:textFill>
            <w14:solidFill>
              <w14:schemeClr w14:val="tx1"/>
            </w14:solidFill>
          </w14:textFill>
        </w:rPr>
        <w:t>条</w:t>
      </w:r>
      <w:r>
        <w:rPr>
          <w:rFonts w:hint="eastAsia" w:ascii="仿宋_GB2312" w:hAnsi="仿宋"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sz w:val="32"/>
        </w:rPr>
        <w:t>本基准中涉及“以上”的除第一阶包含所述罚款数额本数外，其余均不包含所述罚款数额本数。“以下”均包含所述罚款数额本数。违法涉案粮食货值，按其违法行为发生地当月的市场平均价格计算。相关制度另有规定的，从其规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rPr>
      </w:pPr>
      <w:r>
        <w:rPr>
          <w:rFonts w:hint="eastAsia" w:ascii="黑体" w:hAnsi="黑体" w:eastAsia="黑体" w:cs="仿宋_GB2312"/>
          <w:sz w:val="32"/>
          <w:szCs w:val="32"/>
        </w:rPr>
        <w:t>第</w:t>
      </w:r>
      <w:r>
        <w:rPr>
          <w:rFonts w:hint="eastAsia" w:ascii="黑体" w:hAnsi="黑体" w:eastAsia="黑体" w:cs="仿宋_GB2312"/>
          <w:sz w:val="32"/>
          <w:szCs w:val="32"/>
          <w:lang w:eastAsia="zh-CN"/>
        </w:rPr>
        <w:t>十五</w:t>
      </w:r>
      <w:r>
        <w:rPr>
          <w:rFonts w:hint="eastAsia" w:ascii="黑体" w:hAnsi="黑体" w:eastAsia="黑体" w:cs="仿宋_GB2312"/>
          <w:sz w:val="32"/>
          <w:szCs w:val="32"/>
        </w:rPr>
        <w:t>条</w:t>
      </w:r>
      <w:r>
        <w:rPr>
          <w:rFonts w:hint="eastAsia" w:ascii="仿宋_GB2312" w:hAnsi="仿宋" w:eastAsia="仿宋_GB2312" w:cs="仿宋_GB2312"/>
          <w:sz w:val="32"/>
          <w:szCs w:val="32"/>
        </w:rPr>
        <w:t xml:space="preserve"> 本基准及对应的</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北京市粮食领域行政处罚裁量</w:t>
      </w:r>
      <w:r>
        <w:rPr>
          <w:rFonts w:hint="eastAsia" w:ascii="仿宋_GB2312" w:hAnsi="仿宋" w:eastAsia="仿宋_GB2312" w:cs="仿宋_GB2312"/>
          <w:sz w:val="32"/>
          <w:szCs w:val="32"/>
          <w:lang w:eastAsia="zh-CN"/>
        </w:rPr>
        <w:t>权</w:t>
      </w:r>
      <w:r>
        <w:rPr>
          <w:rFonts w:hint="eastAsia" w:ascii="仿宋_GB2312" w:hAnsi="仿宋" w:eastAsia="仿宋_GB2312" w:cs="仿宋_GB2312"/>
          <w:sz w:val="32"/>
          <w:szCs w:val="32"/>
        </w:rPr>
        <w:t>基准</w:t>
      </w:r>
      <w:r>
        <w:rPr>
          <w:rFonts w:hint="eastAsia" w:ascii="仿宋_GB2312" w:hAnsi="仿宋" w:eastAsia="仿宋_GB2312" w:cs="仿宋_GB2312"/>
          <w:sz w:val="32"/>
          <w:szCs w:val="32"/>
          <w:lang w:val="en-US" w:eastAsia="zh-CN"/>
        </w:rPr>
        <w:t>表</w:t>
      </w:r>
      <w:r>
        <w:rPr>
          <w:rFonts w:hint="eastAsia" w:ascii="仿宋_GB2312" w:hAnsi="仿宋" w:eastAsia="仿宋_GB2312" w:cs="仿宋_GB2312"/>
          <w:sz w:val="32"/>
          <w:szCs w:val="32"/>
        </w:rPr>
        <w:t>及处罚公示期限目录</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自</w:t>
      </w:r>
      <w:r>
        <w:rPr>
          <w:rFonts w:hint="eastAsia" w:ascii="仿宋_GB2312" w:hAnsi="仿宋" w:eastAsia="仿宋_GB2312" w:cs="仿宋_GB2312"/>
          <w:sz w:val="32"/>
          <w:szCs w:val="32"/>
          <w:lang w:val="en-US" w:eastAsia="zh-CN"/>
        </w:rPr>
        <w:t>2026年7月15日</w:t>
      </w:r>
      <w:r>
        <w:rPr>
          <w:rFonts w:hint="eastAsia" w:ascii="仿宋_GB2312" w:hAnsi="仿宋" w:eastAsia="仿宋_GB2312" w:cs="仿宋_GB2312"/>
          <w:sz w:val="32"/>
          <w:szCs w:val="32"/>
        </w:rPr>
        <w:t>起施行。</w:t>
      </w:r>
      <w:r>
        <w:rPr>
          <w:rFonts w:hint="eastAsia" w:ascii="仿宋_GB2312" w:hAnsi="仿宋_GB2312" w:eastAsia="仿宋_GB2312" w:cs="仿宋_GB2312"/>
          <w:sz w:val="32"/>
        </w:rPr>
        <w:t>原</w:t>
      </w:r>
      <w:r>
        <w:rPr>
          <w:rFonts w:hint="eastAsia" w:ascii="仿宋_GB2312" w:hAnsi="仿宋_GB2312" w:eastAsia="仿宋_GB2312" w:cs="仿宋_GB2312"/>
          <w:sz w:val="32"/>
          <w:lang w:val="en" w:eastAsia="zh-CN"/>
        </w:rPr>
        <w:t>《北京市粮食和物资储备局关于印发&lt;北京市粮食领域行政处罚裁量权基准</w:t>
      </w:r>
      <w:r>
        <w:rPr>
          <w:rFonts w:hint="eastAsia" w:ascii="仿宋_GB2312" w:hAnsi="仿宋_GB2312" w:eastAsia="仿宋_GB2312" w:cs="仿宋_GB2312"/>
          <w:sz w:val="32"/>
          <w:lang w:val="en-US" w:eastAsia="zh-CN"/>
        </w:rPr>
        <w:t>2024版</w:t>
      </w:r>
      <w:r>
        <w:rPr>
          <w:rFonts w:hint="eastAsia" w:ascii="仿宋_GB2312" w:hAnsi="仿宋_GB2312" w:eastAsia="仿宋_GB2312" w:cs="仿宋_GB2312"/>
          <w:sz w:val="32"/>
          <w:lang w:val="en" w:eastAsia="zh-CN"/>
        </w:rPr>
        <w:t>&gt;&lt;北京市粮食领域行政处罚裁量权基准表及处罚公示期限目录</w:t>
      </w:r>
      <w:r>
        <w:rPr>
          <w:rFonts w:hint="eastAsia" w:ascii="仿宋_GB2312" w:hAnsi="仿宋_GB2312" w:eastAsia="仿宋_GB2312" w:cs="仿宋_GB2312"/>
          <w:sz w:val="32"/>
          <w:lang w:val="en-US" w:eastAsia="zh-CN"/>
        </w:rPr>
        <w:t>2024版</w:t>
      </w:r>
      <w:r>
        <w:rPr>
          <w:rFonts w:hint="eastAsia" w:ascii="仿宋_GB2312" w:hAnsi="仿宋_GB2312" w:eastAsia="仿宋_GB2312" w:cs="仿宋_GB2312"/>
          <w:sz w:val="32"/>
          <w:lang w:val="en" w:eastAsia="zh-CN"/>
        </w:rPr>
        <w:t>&gt;的通知》</w:t>
      </w:r>
      <w:r>
        <w:rPr>
          <w:rFonts w:hint="eastAsia" w:ascii="仿宋_GB2312" w:hAnsi="仿宋_GB2312" w:eastAsia="仿宋_GB2312" w:cs="仿宋_GB2312"/>
          <w:sz w:val="32"/>
        </w:rPr>
        <w:t>（京粮发〔20</w:t>
      </w:r>
      <w:r>
        <w:rPr>
          <w:rFonts w:hint="eastAsia" w:ascii="仿宋_GB2312" w:hAnsi="仿宋_GB2312" w:eastAsia="仿宋_GB2312" w:cs="仿宋_GB2312"/>
          <w:sz w:val="32"/>
          <w:lang w:val="en-US" w:eastAsia="zh-CN"/>
        </w:rPr>
        <w:t>24</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29</w:t>
      </w:r>
      <w:r>
        <w:rPr>
          <w:rFonts w:hint="eastAsia" w:ascii="仿宋_GB2312" w:hAnsi="仿宋_GB2312" w:eastAsia="仿宋_GB2312" w:cs="仿宋_GB2312"/>
          <w:sz w:val="32"/>
        </w:rPr>
        <w:t>号）同时废止。</w:t>
      </w:r>
    </w:p>
    <w:p>
      <w:pPr>
        <w:pStyle w:val="12"/>
        <w:rPr>
          <w:rFonts w:hint="eastAsia" w:ascii="方正小标宋简体" w:hAnsi="华文中宋" w:eastAsia="方正小标宋简体" w:cs="方正小标宋简体"/>
          <w:w w:val="90"/>
          <w:sz w:val="44"/>
          <w:szCs w:val="44"/>
        </w:rPr>
      </w:pPr>
      <w:bookmarkStart w:id="2" w:name="_GoBack"/>
      <w:bookmarkEnd w:id="2"/>
    </w:p>
    <w:p>
      <w:pPr>
        <w:pStyle w:val="12"/>
        <w:rPr>
          <w:rFonts w:hint="eastAsia" w:ascii="方正小标宋简体" w:hAnsi="华文中宋" w:eastAsia="方正小标宋简体" w:cs="方正小标宋简体"/>
          <w:w w:val="90"/>
          <w:sz w:val="44"/>
          <w:szCs w:val="44"/>
        </w:rPr>
      </w:pPr>
    </w:p>
    <w:p>
      <w:pPr>
        <w:pStyle w:val="12"/>
        <w:rPr>
          <w:rFonts w:hint="eastAsia" w:ascii="方正小标宋简体" w:hAnsi="华文中宋" w:eastAsia="方正小标宋简体" w:cs="方正小标宋简体"/>
          <w:w w:val="90"/>
          <w:sz w:val="44"/>
          <w:szCs w:val="44"/>
        </w:rPr>
      </w:pPr>
    </w:p>
    <w:p>
      <w:pPr>
        <w:pStyle w:val="12"/>
        <w:rPr>
          <w:rFonts w:hint="eastAsia" w:ascii="方正小标宋简体" w:hAnsi="华文中宋" w:eastAsia="方正小标宋简体" w:cs="方正小标宋简体"/>
          <w:w w:val="90"/>
          <w:sz w:val="44"/>
          <w:szCs w:val="44"/>
        </w:rPr>
        <w:sectPr>
          <w:footerReference r:id="rId3" w:type="default"/>
          <w:footerReference r:id="rId4" w:type="even"/>
          <w:pgSz w:w="11906" w:h="16838"/>
          <w:pgMar w:top="1440" w:right="1803" w:bottom="1440" w:left="1803" w:header="851" w:footer="992" w:gutter="0"/>
          <w:pgNumType w:fmt="numberInDash"/>
          <w:cols w:space="0" w:num="1"/>
          <w:rtlGutter w:val="0"/>
          <w:docGrid w:type="lines" w:linePitch="312" w:charSpace="0"/>
        </w:sectPr>
      </w:pPr>
    </w:p>
    <w:p>
      <w:pPr>
        <w:spacing w:line="560" w:lineRule="exact"/>
        <w:ind w:firstLine="1584" w:firstLineChars="400"/>
        <w:jc w:val="both"/>
        <w:rPr>
          <w:rFonts w:hint="eastAsia" w:ascii="方正小标宋简体" w:hAnsi="方正小标宋简体" w:eastAsia="方正小标宋简体" w:cs="方正小标宋简体"/>
          <w:color w:val="000000"/>
          <w:spacing w:val="-20"/>
          <w:w w:val="90"/>
          <w:kern w:val="0"/>
          <w:sz w:val="44"/>
          <w:szCs w:val="44"/>
          <w:lang w:eastAsia="zh-CN"/>
        </w:rPr>
      </w:pPr>
      <w:r>
        <w:rPr>
          <w:rFonts w:hint="eastAsia" w:ascii="方正小标宋简体" w:hAnsi="方正小标宋简体" w:eastAsia="方正小标宋简体" w:cs="方正小标宋简体"/>
          <w:color w:val="000000"/>
          <w:w w:val="90"/>
          <w:kern w:val="0"/>
          <w:sz w:val="44"/>
          <w:szCs w:val="44"/>
        </w:rPr>
        <w:t>北京市粮食领域行政处罚裁量权基准表及处罚公示期限目录</w:t>
      </w:r>
    </w:p>
    <w:p>
      <w:pPr>
        <w:spacing w:line="580" w:lineRule="exact"/>
        <w:jc w:val="center"/>
        <w:rPr>
          <w:rFonts w:ascii="宋体" w:hAnsi="宋体" w:cs="宋体"/>
          <w:sz w:val="32"/>
          <w:szCs w:val="32"/>
        </w:rPr>
      </w:pPr>
      <w:r>
        <w:rPr>
          <w:rFonts w:hint="eastAsia" w:ascii="宋体" w:hAnsi="宋体" w:cs="宋体"/>
          <w:sz w:val="32"/>
          <w:szCs w:val="32"/>
        </w:rPr>
        <w:t>《退耕还林条例》</w:t>
      </w:r>
    </w:p>
    <w:tbl>
      <w:tblPr>
        <w:tblStyle w:val="9"/>
        <w:tblW w:w="5287" w:type="pct"/>
        <w:tblInd w:w="-356" w:type="dxa"/>
        <w:tblLayout w:type="fixed"/>
        <w:tblCellMar>
          <w:top w:w="0" w:type="dxa"/>
          <w:left w:w="108" w:type="dxa"/>
          <w:bottom w:w="0" w:type="dxa"/>
          <w:right w:w="108" w:type="dxa"/>
        </w:tblCellMar>
      </w:tblPr>
      <w:tblGrid>
        <w:gridCol w:w="408"/>
        <w:gridCol w:w="1372"/>
        <w:gridCol w:w="1914"/>
        <w:gridCol w:w="1337"/>
        <w:gridCol w:w="1348"/>
        <w:gridCol w:w="1991"/>
        <w:gridCol w:w="3462"/>
        <w:gridCol w:w="955"/>
        <w:gridCol w:w="1007"/>
        <w:gridCol w:w="1194"/>
      </w:tblGrid>
      <w:tr>
        <w:tblPrEx>
          <w:tblCellMar>
            <w:top w:w="0" w:type="dxa"/>
            <w:left w:w="108" w:type="dxa"/>
            <w:bottom w:w="0" w:type="dxa"/>
            <w:right w:w="108" w:type="dxa"/>
          </w:tblCellMar>
        </w:tblPrEx>
        <w:trPr>
          <w:trHeight w:val="451" w:hRule="atLeast"/>
          <w:tblHeader/>
        </w:trPr>
        <w:tc>
          <w:tcPr>
            <w:tcW w:w="136"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textAlignment w:val="center"/>
              <w:rPr>
                <w:rFonts w:ascii="CESI仿宋-GB2312" w:hAnsi="CESI仿宋-GB2312" w:eastAsia="CESI仿宋-GB2312" w:cs="CESI仿宋-GB2312"/>
                <w:b/>
                <w:color w:val="000000"/>
                <w:sz w:val="24"/>
                <w:szCs w:val="24"/>
              </w:rPr>
            </w:pPr>
            <w:r>
              <w:rPr>
                <w:rFonts w:hint="eastAsia" w:ascii="CESI仿宋-GB2312" w:hAnsi="CESI仿宋-GB2312" w:eastAsia="CESI仿宋-GB2312" w:cs="CESI仿宋-GB2312"/>
                <w:b/>
                <w:color w:val="000000"/>
                <w:kern w:val="0"/>
                <w:sz w:val="24"/>
                <w:szCs w:val="24"/>
              </w:rPr>
              <w:t>序</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号</w:t>
            </w:r>
          </w:p>
        </w:tc>
        <w:tc>
          <w:tcPr>
            <w:tcW w:w="457"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裁量权</w:t>
            </w:r>
          </w:p>
          <w:p>
            <w:pPr>
              <w:widowControl/>
              <w:spacing w:line="360" w:lineRule="exact"/>
              <w:jc w:val="center"/>
              <w:textAlignment w:val="center"/>
              <w:rPr>
                <w:rFonts w:ascii="CESI仿宋-GB2312" w:hAnsi="CESI仿宋-GB2312" w:eastAsia="CESI仿宋-GB2312" w:cs="CESI仿宋-GB2312"/>
                <w:b/>
                <w:color w:val="000000"/>
                <w:sz w:val="24"/>
                <w:szCs w:val="24"/>
              </w:rPr>
            </w:pPr>
            <w:r>
              <w:rPr>
                <w:rFonts w:hint="eastAsia" w:ascii="CESI仿宋-GB2312" w:hAnsi="CESI仿宋-GB2312" w:eastAsia="CESI仿宋-GB2312" w:cs="CESI仿宋-GB2312"/>
                <w:b/>
                <w:color w:val="000000"/>
                <w:kern w:val="0"/>
                <w:sz w:val="24"/>
                <w:szCs w:val="24"/>
              </w:rPr>
              <w:t>基准编码</w:t>
            </w:r>
          </w:p>
        </w:tc>
        <w:tc>
          <w:tcPr>
            <w:tcW w:w="637"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sz w:val="24"/>
                <w:szCs w:val="24"/>
              </w:rPr>
            </w:pPr>
            <w:r>
              <w:rPr>
                <w:rFonts w:hint="eastAsia" w:ascii="CESI仿宋-GB2312" w:hAnsi="CESI仿宋-GB2312" w:eastAsia="CESI仿宋-GB2312" w:cs="CESI仿宋-GB2312"/>
                <w:b/>
                <w:color w:val="000000"/>
                <w:kern w:val="0"/>
                <w:sz w:val="24"/>
                <w:szCs w:val="24"/>
              </w:rPr>
              <w:t>违法行为</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名称</w:t>
            </w:r>
          </w:p>
        </w:tc>
        <w:tc>
          <w:tcPr>
            <w:tcW w:w="896" w:type="pct"/>
            <w:gridSpan w:val="2"/>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sz w:val="24"/>
                <w:szCs w:val="24"/>
              </w:rPr>
            </w:pPr>
            <w:r>
              <w:rPr>
                <w:rFonts w:hint="eastAsia" w:ascii="CESI仿宋-GB2312" w:hAnsi="CESI仿宋-GB2312" w:eastAsia="CESI仿宋-GB2312" w:cs="CESI仿宋-GB2312"/>
                <w:b/>
                <w:color w:val="000000"/>
                <w:kern w:val="0"/>
                <w:sz w:val="24"/>
                <w:szCs w:val="24"/>
              </w:rPr>
              <w:t>法律依据</w:t>
            </w:r>
          </w:p>
        </w:tc>
        <w:tc>
          <w:tcPr>
            <w:tcW w:w="663" w:type="pct"/>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sz w:val="24"/>
                <w:szCs w:val="24"/>
              </w:rPr>
            </w:pPr>
            <w:r>
              <w:rPr>
                <w:rFonts w:hint="eastAsia" w:ascii="CESI仿宋-GB2312" w:hAnsi="CESI仿宋-GB2312" w:eastAsia="CESI仿宋-GB2312" w:cs="CESI仿宋-GB2312"/>
                <w:b/>
                <w:color w:val="000000"/>
                <w:kern w:val="0"/>
                <w:sz w:val="24"/>
                <w:szCs w:val="24"/>
              </w:rPr>
              <w:t>具体违法情节</w:t>
            </w:r>
          </w:p>
        </w:tc>
        <w:tc>
          <w:tcPr>
            <w:tcW w:w="1154" w:type="pct"/>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sz w:val="24"/>
                <w:szCs w:val="24"/>
              </w:rPr>
            </w:pPr>
            <w:r>
              <w:rPr>
                <w:rFonts w:hint="eastAsia" w:ascii="CESI仿宋-GB2312" w:hAnsi="CESI仿宋-GB2312" w:eastAsia="CESI仿宋-GB2312" w:cs="CESI仿宋-GB2312"/>
                <w:b/>
                <w:color w:val="000000"/>
                <w:kern w:val="0"/>
                <w:sz w:val="24"/>
                <w:szCs w:val="24"/>
              </w:rPr>
              <w:t>处罚裁量权基准</w:t>
            </w:r>
          </w:p>
        </w:tc>
        <w:tc>
          <w:tcPr>
            <w:tcW w:w="319"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行为</w:t>
            </w:r>
          </w:p>
          <w:p>
            <w:pPr>
              <w:widowControl/>
              <w:spacing w:line="360" w:lineRule="exact"/>
              <w:jc w:val="center"/>
              <w:textAlignment w:val="center"/>
              <w:rPr>
                <w:rFonts w:ascii="CESI仿宋-GB2312" w:hAnsi="CESI仿宋-GB2312" w:eastAsia="CESI仿宋-GB2312" w:cs="CESI仿宋-GB2312"/>
                <w:b/>
                <w:color w:val="000000"/>
                <w:sz w:val="24"/>
                <w:szCs w:val="24"/>
              </w:rPr>
            </w:pPr>
            <w:r>
              <w:rPr>
                <w:rFonts w:hint="eastAsia" w:ascii="CESI仿宋-GB2312" w:hAnsi="CESI仿宋-GB2312" w:eastAsia="CESI仿宋-GB2312" w:cs="CESI仿宋-GB2312"/>
                <w:b/>
                <w:color w:val="000000"/>
                <w:kern w:val="0"/>
                <w:sz w:val="24"/>
                <w:szCs w:val="24"/>
              </w:rPr>
              <w:t>分类</w:t>
            </w:r>
          </w:p>
        </w:tc>
        <w:tc>
          <w:tcPr>
            <w:tcW w:w="336"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sz w:val="24"/>
                <w:szCs w:val="24"/>
              </w:rPr>
            </w:pPr>
            <w:r>
              <w:rPr>
                <w:rFonts w:hint="eastAsia" w:ascii="CESI仿宋-GB2312" w:hAnsi="CESI仿宋-GB2312" w:eastAsia="CESI仿宋-GB2312" w:cs="CESI仿宋-GB2312"/>
                <w:b/>
                <w:color w:val="000000"/>
                <w:kern w:val="0"/>
                <w:sz w:val="24"/>
                <w:szCs w:val="24"/>
              </w:rPr>
              <w:t>处罚</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公示</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期限</w:t>
            </w:r>
          </w:p>
        </w:tc>
        <w:tc>
          <w:tcPr>
            <w:tcW w:w="398"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可以申</w:t>
            </w:r>
          </w:p>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请缩短</w:t>
            </w:r>
          </w:p>
          <w:p>
            <w:pPr>
              <w:widowControl/>
              <w:spacing w:line="360" w:lineRule="exact"/>
              <w:jc w:val="center"/>
              <w:textAlignment w:val="center"/>
              <w:rPr>
                <w:rFonts w:ascii="CESI仿宋-GB2312" w:hAnsi="CESI仿宋-GB2312" w:eastAsia="CESI仿宋-GB2312" w:cs="CESI仿宋-GB2312"/>
                <w:b/>
                <w:color w:val="000000"/>
                <w:sz w:val="24"/>
                <w:szCs w:val="24"/>
              </w:rPr>
            </w:pPr>
            <w:r>
              <w:rPr>
                <w:rFonts w:hint="eastAsia" w:ascii="CESI仿宋-GB2312" w:hAnsi="CESI仿宋-GB2312" w:eastAsia="CESI仿宋-GB2312" w:cs="CESI仿宋-GB2312"/>
                <w:b/>
                <w:color w:val="000000"/>
                <w:kern w:val="0"/>
                <w:sz w:val="24"/>
                <w:szCs w:val="24"/>
              </w:rPr>
              <w:t>公示期</w:t>
            </w:r>
          </w:p>
        </w:tc>
      </w:tr>
      <w:tr>
        <w:tblPrEx>
          <w:tblCellMar>
            <w:top w:w="0" w:type="dxa"/>
            <w:left w:w="108" w:type="dxa"/>
            <w:bottom w:w="0" w:type="dxa"/>
            <w:right w:w="108" w:type="dxa"/>
          </w:tblCellMar>
        </w:tblPrEx>
        <w:trPr>
          <w:trHeight w:val="732" w:hRule="atLeast"/>
          <w:tblHeader/>
        </w:trPr>
        <w:tc>
          <w:tcPr>
            <w:tcW w:w="136"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b/>
                <w:color w:val="000000"/>
                <w:szCs w:val="21"/>
              </w:rPr>
            </w:pPr>
          </w:p>
        </w:tc>
        <w:tc>
          <w:tcPr>
            <w:tcW w:w="457"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b/>
                <w:color w:val="000000"/>
                <w:szCs w:val="21"/>
              </w:rPr>
            </w:pPr>
          </w:p>
        </w:tc>
        <w:tc>
          <w:tcPr>
            <w:tcW w:w="637"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b/>
                <w:color w:val="000000"/>
                <w:szCs w:val="21"/>
              </w:rPr>
            </w:pPr>
          </w:p>
        </w:tc>
        <w:tc>
          <w:tcPr>
            <w:tcW w:w="44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sz w:val="24"/>
                <w:szCs w:val="24"/>
              </w:rPr>
            </w:pPr>
            <w:r>
              <w:rPr>
                <w:rFonts w:hint="eastAsia" w:ascii="CESI仿宋-GB2312" w:hAnsi="CESI仿宋-GB2312" w:eastAsia="CESI仿宋-GB2312" w:cs="CESI仿宋-GB2312"/>
                <w:b/>
                <w:color w:val="000000"/>
                <w:kern w:val="0"/>
                <w:sz w:val="24"/>
                <w:szCs w:val="24"/>
              </w:rPr>
              <w:t>违法行为依据</w:t>
            </w:r>
          </w:p>
        </w:tc>
        <w:tc>
          <w:tcPr>
            <w:tcW w:w="45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ESI仿宋-GB2312" w:hAnsi="CESI仿宋-GB2312" w:eastAsia="CESI仿宋-GB2312" w:cs="CESI仿宋-GB2312"/>
                <w:b/>
                <w:color w:val="000000"/>
                <w:sz w:val="24"/>
                <w:szCs w:val="24"/>
              </w:rPr>
            </w:pPr>
            <w:r>
              <w:rPr>
                <w:rFonts w:hint="eastAsia" w:ascii="CESI仿宋-GB2312" w:hAnsi="CESI仿宋-GB2312" w:eastAsia="CESI仿宋-GB2312" w:cs="CESI仿宋-GB2312"/>
                <w:b/>
                <w:color w:val="000000"/>
                <w:kern w:val="0"/>
                <w:sz w:val="24"/>
                <w:szCs w:val="24"/>
              </w:rPr>
              <w:t>处罚依据</w:t>
            </w:r>
          </w:p>
        </w:tc>
        <w:tc>
          <w:tcPr>
            <w:tcW w:w="663" w:type="pct"/>
            <w:vMerge w:val="continue"/>
            <w:tcBorders>
              <w:top w:val="nil"/>
              <w:left w:val="single" w:color="000000" w:sz="4" w:space="0"/>
              <w:bottom w:val="single" w:color="000000" w:sz="4" w:space="0"/>
              <w:right w:val="single" w:color="000000" w:sz="4" w:space="0"/>
            </w:tcBorders>
            <w:noWrap/>
            <w:vAlign w:val="center"/>
          </w:tcPr>
          <w:p>
            <w:pPr>
              <w:jc w:val="center"/>
              <w:rPr>
                <w:rFonts w:ascii="CESI仿宋-GB2312" w:hAnsi="CESI仿宋-GB2312" w:eastAsia="CESI仿宋-GB2312" w:cs="CESI仿宋-GB2312"/>
                <w:b/>
                <w:color w:val="000000"/>
                <w:szCs w:val="21"/>
              </w:rPr>
            </w:pPr>
          </w:p>
        </w:tc>
        <w:tc>
          <w:tcPr>
            <w:tcW w:w="1154" w:type="pct"/>
            <w:vMerge w:val="continue"/>
            <w:tcBorders>
              <w:top w:val="nil"/>
              <w:left w:val="single" w:color="000000" w:sz="4" w:space="0"/>
              <w:bottom w:val="single" w:color="000000" w:sz="4" w:space="0"/>
              <w:right w:val="single" w:color="000000" w:sz="4" w:space="0"/>
            </w:tcBorders>
            <w:noWrap/>
            <w:vAlign w:val="center"/>
          </w:tcPr>
          <w:p>
            <w:pPr>
              <w:jc w:val="center"/>
              <w:rPr>
                <w:rFonts w:ascii="CESI仿宋-GB2312" w:hAnsi="CESI仿宋-GB2312" w:eastAsia="CESI仿宋-GB2312" w:cs="CESI仿宋-GB2312"/>
                <w:b/>
                <w:color w:val="000000"/>
                <w:szCs w:val="21"/>
              </w:rPr>
            </w:pPr>
          </w:p>
        </w:tc>
        <w:tc>
          <w:tcPr>
            <w:tcW w:w="319"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b/>
                <w:color w:val="000000"/>
                <w:szCs w:val="21"/>
              </w:rPr>
            </w:pPr>
          </w:p>
        </w:tc>
        <w:tc>
          <w:tcPr>
            <w:tcW w:w="336"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b/>
                <w:color w:val="000000"/>
                <w:szCs w:val="21"/>
              </w:rPr>
            </w:pPr>
          </w:p>
        </w:tc>
        <w:tc>
          <w:tcPr>
            <w:tcW w:w="398"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b/>
                <w:color w:val="000000"/>
                <w:szCs w:val="21"/>
              </w:rPr>
            </w:pPr>
          </w:p>
        </w:tc>
      </w:tr>
      <w:tr>
        <w:tblPrEx>
          <w:tblCellMar>
            <w:top w:w="0" w:type="dxa"/>
            <w:left w:w="108" w:type="dxa"/>
            <w:bottom w:w="0" w:type="dxa"/>
            <w:right w:w="108" w:type="dxa"/>
          </w:tblCellMar>
        </w:tblPrEx>
        <w:trPr>
          <w:trHeight w:val="1896" w:hRule="atLeast"/>
        </w:trPr>
        <w:tc>
          <w:tcPr>
            <w:tcW w:w="136"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Cs w:val="21"/>
              </w:rPr>
            </w:pPr>
            <w:r>
              <w:rPr>
                <w:rFonts w:hint="eastAsia" w:ascii="宋体" w:hAnsi="宋体" w:cs="宋体"/>
                <w:color w:val="000000"/>
                <w:kern w:val="0"/>
                <w:szCs w:val="21"/>
              </w:rPr>
              <w:t>1</w:t>
            </w:r>
          </w:p>
        </w:tc>
        <w:tc>
          <w:tcPr>
            <w:tcW w:w="45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C2600100</w:t>
            </w:r>
          </w:p>
          <w:p>
            <w:pPr>
              <w:widowControl/>
              <w:jc w:val="center"/>
              <w:textAlignment w:val="center"/>
              <w:rPr>
                <w:rFonts w:ascii="宋体" w:hAnsi="宋体" w:cs="宋体"/>
                <w:color w:val="000000"/>
                <w:szCs w:val="21"/>
              </w:rPr>
            </w:pPr>
            <w:r>
              <w:rPr>
                <w:rFonts w:hint="eastAsia" w:ascii="宋体" w:hAnsi="宋体" w:cs="宋体"/>
                <w:color w:val="000000"/>
                <w:kern w:val="0"/>
                <w:szCs w:val="21"/>
              </w:rPr>
              <w:t>A000</w:t>
            </w:r>
          </w:p>
        </w:tc>
        <w:tc>
          <w:tcPr>
            <w:tcW w:w="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供应补助粮食的企业向退耕还林者供应不符合国家质量标准的补助粮食的行为。</w:t>
            </w:r>
          </w:p>
        </w:tc>
        <w:tc>
          <w:tcPr>
            <w:tcW w:w="44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《退耕还林条例》第三十九条第二款</w:t>
            </w:r>
          </w:p>
        </w:tc>
        <w:tc>
          <w:tcPr>
            <w:tcW w:w="45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《退耕还林条例》第六十一条第一款</w:t>
            </w:r>
          </w:p>
        </w:tc>
        <w:tc>
          <w:tcPr>
            <w:tcW w:w="663"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供应补助粮食的企业向退耕还林者供应不符合国家质量标准的补助粮食的。</w:t>
            </w:r>
          </w:p>
        </w:tc>
        <w:tc>
          <w:tcPr>
            <w:tcW w:w="1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责令限期改正，可以处非法供应的补助粮食数量乘以标准口粮单价1倍以下的罚款。</w:t>
            </w:r>
          </w:p>
        </w:tc>
        <w:tc>
          <w:tcPr>
            <w:tcW w:w="3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3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12个月</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3-6个月</w:t>
            </w:r>
          </w:p>
        </w:tc>
      </w:tr>
      <w:tr>
        <w:tblPrEx>
          <w:tblCellMar>
            <w:top w:w="0" w:type="dxa"/>
            <w:left w:w="108" w:type="dxa"/>
            <w:bottom w:w="0" w:type="dxa"/>
            <w:right w:w="108" w:type="dxa"/>
          </w:tblCellMar>
        </w:tblPrEx>
        <w:trPr>
          <w:trHeight w:val="1682" w:hRule="atLeast"/>
        </w:trPr>
        <w:tc>
          <w:tcPr>
            <w:tcW w:w="136"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Cs w:val="21"/>
              </w:rPr>
            </w:pPr>
            <w:r>
              <w:rPr>
                <w:rFonts w:hint="eastAsia" w:ascii="宋体" w:hAnsi="宋体" w:cs="宋体"/>
                <w:color w:val="000000"/>
                <w:kern w:val="0"/>
                <w:szCs w:val="21"/>
              </w:rPr>
              <w:t>2</w:t>
            </w:r>
          </w:p>
        </w:tc>
        <w:tc>
          <w:tcPr>
            <w:tcW w:w="45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C2600200</w:t>
            </w:r>
          </w:p>
          <w:p>
            <w:pPr>
              <w:widowControl/>
              <w:jc w:val="center"/>
              <w:textAlignment w:val="center"/>
              <w:rPr>
                <w:rFonts w:ascii="宋体" w:hAnsi="宋体" w:cs="宋体"/>
                <w:color w:val="000000"/>
                <w:szCs w:val="21"/>
              </w:rPr>
            </w:pPr>
            <w:r>
              <w:rPr>
                <w:rFonts w:hint="eastAsia" w:ascii="宋体" w:hAnsi="宋体" w:cs="宋体"/>
                <w:color w:val="000000"/>
                <w:kern w:val="0"/>
                <w:szCs w:val="21"/>
              </w:rPr>
              <w:t>B000</w:t>
            </w:r>
          </w:p>
        </w:tc>
        <w:tc>
          <w:tcPr>
            <w:tcW w:w="63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供应补助粮食的企业将补助粮食折算成现金或者代金券支付的行为。</w:t>
            </w:r>
          </w:p>
        </w:tc>
        <w:tc>
          <w:tcPr>
            <w:tcW w:w="44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《退耕还林条例》第四十一条</w:t>
            </w:r>
          </w:p>
        </w:tc>
        <w:tc>
          <w:tcPr>
            <w:tcW w:w="45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《退耕还林条例》第六十一条第二款</w:t>
            </w:r>
          </w:p>
        </w:tc>
        <w:tc>
          <w:tcPr>
            <w:tcW w:w="663"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供应补助粮食的企业将补助粮食折算成现金或者代金券支付的。</w:t>
            </w:r>
          </w:p>
        </w:tc>
        <w:tc>
          <w:tcPr>
            <w:tcW w:w="115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Cs w:val="21"/>
              </w:rPr>
            </w:pPr>
            <w:r>
              <w:rPr>
                <w:rFonts w:hint="eastAsia" w:ascii="宋体" w:hAnsi="宋体" w:cs="宋体"/>
                <w:color w:val="000000"/>
                <w:szCs w:val="21"/>
              </w:rPr>
              <w:t>责令限期改正，可以处折算现金额、代金券额1倍以下的罚款。</w:t>
            </w:r>
          </w:p>
        </w:tc>
        <w:tc>
          <w:tcPr>
            <w:tcW w:w="3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一般</w:t>
            </w:r>
          </w:p>
        </w:tc>
        <w:tc>
          <w:tcPr>
            <w:tcW w:w="33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6个月</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1803" w:hRule="atLeast"/>
        </w:trPr>
        <w:tc>
          <w:tcPr>
            <w:tcW w:w="136" w:type="pct"/>
            <w:tcBorders>
              <w:top w:val="single" w:color="000000" w:sz="4" w:space="0"/>
              <w:left w:val="single" w:color="000000" w:sz="4" w:space="0"/>
              <w:bottom w:val="single" w:color="auto" w:sz="4" w:space="0"/>
              <w:right w:val="single" w:color="000000" w:sz="4" w:space="0"/>
            </w:tcBorders>
            <w:noWrap/>
            <w:vAlign w:val="center"/>
          </w:tcPr>
          <w:p>
            <w:pPr>
              <w:widowControl/>
              <w:jc w:val="right"/>
              <w:textAlignment w:val="center"/>
              <w:rPr>
                <w:rFonts w:ascii="宋体" w:hAnsi="宋体" w:cs="宋体"/>
                <w:color w:val="000000"/>
                <w:kern w:val="0"/>
                <w:szCs w:val="21"/>
              </w:rPr>
            </w:pPr>
            <w:r>
              <w:rPr>
                <w:rFonts w:hint="eastAsia" w:ascii="宋体" w:hAnsi="宋体" w:cs="宋体"/>
                <w:color w:val="000000"/>
                <w:kern w:val="0"/>
                <w:szCs w:val="21"/>
              </w:rPr>
              <w:t>3</w:t>
            </w:r>
          </w:p>
        </w:tc>
        <w:tc>
          <w:tcPr>
            <w:tcW w:w="457"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C2600300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B000</w:t>
            </w:r>
          </w:p>
        </w:tc>
        <w:tc>
          <w:tcPr>
            <w:tcW w:w="637"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供应补助粮食的企业回购补助粮食的行为。</w:t>
            </w:r>
          </w:p>
        </w:tc>
        <w:tc>
          <w:tcPr>
            <w:tcW w:w="446"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《退耕还林条例》第四十一条</w:t>
            </w:r>
          </w:p>
        </w:tc>
        <w:tc>
          <w:tcPr>
            <w:tcW w:w="450"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《退耕还林条例》第六十一条第二款</w:t>
            </w:r>
          </w:p>
        </w:tc>
        <w:tc>
          <w:tcPr>
            <w:tcW w:w="663" w:type="pct"/>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供应补助粮食的企业回购补助粮食的。</w:t>
            </w:r>
          </w:p>
        </w:tc>
        <w:tc>
          <w:tcPr>
            <w:tcW w:w="1154" w:type="pct"/>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责令限期改正，可以处回购粮食价款1倍以下的罚款。</w:t>
            </w:r>
          </w:p>
        </w:tc>
        <w:tc>
          <w:tcPr>
            <w:tcW w:w="319"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36"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398"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bl>
    <w:p>
      <w:pPr>
        <w:jc w:val="both"/>
        <w:rPr>
          <w:rFonts w:ascii="宋体" w:hAnsi="宋体" w:cs="宋体"/>
          <w:sz w:val="32"/>
          <w:szCs w:val="32"/>
        </w:rPr>
      </w:pPr>
    </w:p>
    <w:p>
      <w:pPr>
        <w:jc w:val="center"/>
        <w:rPr>
          <w:rFonts w:hint="eastAsia" w:ascii="宋体" w:hAnsi="宋体" w:cs="宋体"/>
          <w:sz w:val="32"/>
          <w:szCs w:val="32"/>
        </w:rPr>
      </w:pPr>
    </w:p>
    <w:p>
      <w:pPr>
        <w:jc w:val="center"/>
        <w:rPr>
          <w:rFonts w:ascii="宋体"/>
          <w:sz w:val="32"/>
          <w:szCs w:val="32"/>
        </w:rPr>
      </w:pPr>
      <w:r>
        <w:rPr>
          <w:rFonts w:hint="eastAsia" w:ascii="宋体" w:hAnsi="宋体" w:cs="宋体"/>
          <w:sz w:val="32"/>
          <w:szCs w:val="32"/>
        </w:rPr>
        <w:t>《粮食流通管理条例》《粮食质量安全监管办法》</w:t>
      </w:r>
    </w:p>
    <w:tbl>
      <w:tblPr>
        <w:tblStyle w:val="9"/>
        <w:tblW w:w="5345" w:type="pct"/>
        <w:tblInd w:w="-459" w:type="dxa"/>
        <w:tblLayout w:type="fixed"/>
        <w:tblCellMar>
          <w:top w:w="0" w:type="dxa"/>
          <w:left w:w="108" w:type="dxa"/>
          <w:bottom w:w="0" w:type="dxa"/>
          <w:right w:w="108" w:type="dxa"/>
        </w:tblCellMar>
      </w:tblPr>
      <w:tblGrid>
        <w:gridCol w:w="459"/>
        <w:gridCol w:w="1341"/>
        <w:gridCol w:w="1255"/>
        <w:gridCol w:w="1140"/>
        <w:gridCol w:w="1188"/>
        <w:gridCol w:w="3265"/>
        <w:gridCol w:w="3542"/>
        <w:gridCol w:w="797"/>
        <w:gridCol w:w="965"/>
        <w:gridCol w:w="1198"/>
      </w:tblGrid>
      <w:tr>
        <w:tblPrEx>
          <w:tblCellMar>
            <w:top w:w="0" w:type="dxa"/>
            <w:left w:w="108" w:type="dxa"/>
            <w:bottom w:w="0" w:type="dxa"/>
            <w:right w:w="108" w:type="dxa"/>
          </w:tblCellMar>
        </w:tblPrEx>
        <w:trPr>
          <w:trHeight w:val="600" w:hRule="atLeast"/>
          <w:tblHeader/>
        </w:trPr>
        <w:tc>
          <w:tcPr>
            <w:tcW w:w="152" w:type="pct"/>
            <w:vMerge w:val="restart"/>
            <w:tcBorders>
              <w:top w:val="single" w:color="auto" w:sz="4" w:space="0"/>
              <w:left w:val="single" w:color="000000" w:sz="4" w:space="0"/>
              <w:bottom w:val="nil"/>
              <w:right w:val="nil"/>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序</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号</w:t>
            </w:r>
          </w:p>
        </w:tc>
        <w:tc>
          <w:tcPr>
            <w:tcW w:w="442" w:type="pct"/>
            <w:vMerge w:val="restart"/>
            <w:tcBorders>
              <w:top w:val="single" w:color="auto" w:sz="4" w:space="0"/>
              <w:left w:val="single" w:color="000000" w:sz="4" w:space="0"/>
              <w:bottom w:val="nil"/>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裁量权</w:t>
            </w:r>
          </w:p>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基准编码</w:t>
            </w:r>
          </w:p>
        </w:tc>
        <w:tc>
          <w:tcPr>
            <w:tcW w:w="413" w:type="pct"/>
            <w:vMerge w:val="restart"/>
            <w:tcBorders>
              <w:top w:val="single" w:color="auto" w:sz="4" w:space="0"/>
              <w:left w:val="single" w:color="000000" w:sz="4" w:space="0"/>
              <w:bottom w:val="nil"/>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违法行为</w:t>
            </w:r>
          </w:p>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名称</w:t>
            </w:r>
          </w:p>
        </w:tc>
        <w:tc>
          <w:tcPr>
            <w:tcW w:w="767" w:type="pct"/>
            <w:gridSpan w:val="2"/>
            <w:tcBorders>
              <w:top w:val="single" w:color="auto" w:sz="4" w:space="0"/>
              <w:left w:val="single" w:color="000000" w:sz="4" w:space="0"/>
              <w:bottom w:val="single" w:color="auto"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法律依据</w:t>
            </w:r>
          </w:p>
        </w:tc>
        <w:tc>
          <w:tcPr>
            <w:tcW w:w="1077" w:type="pct"/>
            <w:vMerge w:val="restart"/>
            <w:tcBorders>
              <w:top w:val="single" w:color="auto" w:sz="4" w:space="0"/>
              <w:left w:val="single" w:color="000000" w:sz="4" w:space="0"/>
              <w:bottom w:val="nil"/>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具体违法情节</w:t>
            </w:r>
          </w:p>
        </w:tc>
        <w:tc>
          <w:tcPr>
            <w:tcW w:w="1168" w:type="pct"/>
            <w:vMerge w:val="restart"/>
            <w:tcBorders>
              <w:top w:val="single" w:color="auto" w:sz="4" w:space="0"/>
              <w:left w:val="single" w:color="000000" w:sz="4" w:space="0"/>
              <w:bottom w:val="nil"/>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处罚裁量权基准</w:t>
            </w:r>
          </w:p>
        </w:tc>
        <w:tc>
          <w:tcPr>
            <w:tcW w:w="263" w:type="pct"/>
            <w:vMerge w:val="restart"/>
            <w:tcBorders>
              <w:top w:val="single" w:color="auto" w:sz="4" w:space="0"/>
              <w:left w:val="single" w:color="000000" w:sz="4" w:space="0"/>
              <w:bottom w:val="nil"/>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行为分类</w:t>
            </w:r>
          </w:p>
        </w:tc>
        <w:tc>
          <w:tcPr>
            <w:tcW w:w="318" w:type="pct"/>
            <w:vMerge w:val="restart"/>
            <w:tcBorders>
              <w:top w:val="single" w:color="auto" w:sz="4" w:space="0"/>
              <w:left w:val="single" w:color="000000" w:sz="4" w:space="0"/>
              <w:bottom w:val="nil"/>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处罚</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公示</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期限</w:t>
            </w:r>
          </w:p>
        </w:tc>
        <w:tc>
          <w:tcPr>
            <w:tcW w:w="395" w:type="pct"/>
            <w:vMerge w:val="restart"/>
            <w:tcBorders>
              <w:top w:val="single" w:color="auto" w:sz="4" w:space="0"/>
              <w:left w:val="single" w:color="000000" w:sz="4" w:space="0"/>
              <w:bottom w:val="nil"/>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可以申</w:t>
            </w:r>
          </w:p>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请缩短</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公示期</w:t>
            </w:r>
          </w:p>
        </w:tc>
      </w:tr>
      <w:tr>
        <w:tblPrEx>
          <w:tblCellMar>
            <w:top w:w="0" w:type="dxa"/>
            <w:left w:w="108" w:type="dxa"/>
            <w:bottom w:w="0" w:type="dxa"/>
            <w:right w:w="108" w:type="dxa"/>
          </w:tblCellMar>
        </w:tblPrEx>
        <w:trPr>
          <w:trHeight w:val="700" w:hRule="atLeast"/>
          <w:tblHeader/>
        </w:trPr>
        <w:tc>
          <w:tcPr>
            <w:tcW w:w="152" w:type="pct"/>
            <w:vMerge w:val="continue"/>
            <w:tcBorders>
              <w:top w:val="nil"/>
              <w:left w:val="single" w:color="000000" w:sz="4" w:space="0"/>
              <w:bottom w:val="single" w:color="auto" w:sz="4" w:space="0"/>
              <w:right w:val="nil"/>
            </w:tcBorders>
            <w:vAlign w:val="center"/>
          </w:tcPr>
          <w:p>
            <w:pPr>
              <w:jc w:val="center"/>
              <w:rPr>
                <w:rFonts w:ascii="宋体" w:hAnsi="宋体" w:cs="宋体"/>
                <w:b/>
                <w:color w:val="000000"/>
                <w:szCs w:val="21"/>
              </w:rPr>
            </w:pPr>
          </w:p>
        </w:tc>
        <w:tc>
          <w:tcPr>
            <w:tcW w:w="442" w:type="pct"/>
            <w:vMerge w:val="continue"/>
            <w:tcBorders>
              <w:top w:val="nil"/>
              <w:left w:val="single" w:color="000000" w:sz="4" w:space="0"/>
              <w:bottom w:val="single" w:color="auto" w:sz="4" w:space="0"/>
              <w:right w:val="single" w:color="000000" w:sz="4" w:space="0"/>
            </w:tcBorders>
            <w:vAlign w:val="center"/>
          </w:tcPr>
          <w:p>
            <w:pPr>
              <w:jc w:val="center"/>
              <w:rPr>
                <w:rFonts w:ascii="CESI仿宋-GB2312" w:hAnsi="CESI仿宋-GB2312" w:eastAsia="CESI仿宋-GB2312" w:cs="CESI仿宋-GB2312"/>
                <w:b/>
                <w:color w:val="000000"/>
                <w:szCs w:val="21"/>
              </w:rPr>
            </w:pPr>
          </w:p>
        </w:tc>
        <w:tc>
          <w:tcPr>
            <w:tcW w:w="413" w:type="pct"/>
            <w:vMerge w:val="continue"/>
            <w:tcBorders>
              <w:top w:val="nil"/>
              <w:left w:val="single" w:color="000000" w:sz="4" w:space="0"/>
              <w:bottom w:val="single" w:color="auto" w:sz="4" w:space="0"/>
              <w:right w:val="single" w:color="auto" w:sz="4" w:space="0"/>
            </w:tcBorders>
            <w:noWrap/>
            <w:vAlign w:val="center"/>
          </w:tcPr>
          <w:p>
            <w:pPr>
              <w:jc w:val="center"/>
              <w:rPr>
                <w:rFonts w:ascii="CESI仿宋-GB2312" w:hAnsi="CESI仿宋-GB2312" w:eastAsia="CESI仿宋-GB2312" w:cs="CESI仿宋-GB2312"/>
                <w:b/>
                <w:color w:val="000000"/>
                <w:szCs w:val="21"/>
              </w:rPr>
            </w:pPr>
          </w:p>
        </w:tc>
        <w:tc>
          <w:tcPr>
            <w:tcW w:w="375" w:type="pc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违法行为依据</w:t>
            </w:r>
          </w:p>
        </w:tc>
        <w:tc>
          <w:tcPr>
            <w:tcW w:w="391"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处罚</w:t>
            </w:r>
          </w:p>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依据</w:t>
            </w:r>
          </w:p>
        </w:tc>
        <w:tc>
          <w:tcPr>
            <w:tcW w:w="1077" w:type="pct"/>
            <w:vMerge w:val="continue"/>
            <w:tcBorders>
              <w:top w:val="nil"/>
              <w:left w:val="single" w:color="auto" w:sz="4" w:space="0"/>
              <w:bottom w:val="single" w:color="auto" w:sz="4" w:space="0"/>
              <w:right w:val="single" w:color="000000" w:sz="4" w:space="0"/>
            </w:tcBorders>
            <w:noWrap/>
            <w:vAlign w:val="center"/>
          </w:tcPr>
          <w:p>
            <w:pPr>
              <w:jc w:val="center"/>
              <w:rPr>
                <w:rFonts w:ascii="CESI仿宋-GB2312" w:hAnsi="CESI仿宋-GB2312" w:eastAsia="CESI仿宋-GB2312" w:cs="CESI仿宋-GB2312"/>
                <w:b/>
                <w:color w:val="000000"/>
                <w:szCs w:val="21"/>
              </w:rPr>
            </w:pPr>
          </w:p>
        </w:tc>
        <w:tc>
          <w:tcPr>
            <w:tcW w:w="1168" w:type="pct"/>
            <w:vMerge w:val="continue"/>
            <w:tcBorders>
              <w:top w:val="nil"/>
              <w:left w:val="single" w:color="000000" w:sz="4" w:space="0"/>
              <w:bottom w:val="single" w:color="auto" w:sz="4" w:space="0"/>
              <w:right w:val="single" w:color="000000" w:sz="4" w:space="0"/>
            </w:tcBorders>
            <w:noWrap/>
            <w:vAlign w:val="center"/>
          </w:tcPr>
          <w:p>
            <w:pPr>
              <w:jc w:val="center"/>
              <w:rPr>
                <w:rFonts w:ascii="CESI仿宋-GB2312" w:hAnsi="CESI仿宋-GB2312" w:eastAsia="CESI仿宋-GB2312" w:cs="CESI仿宋-GB2312"/>
                <w:b/>
                <w:color w:val="000000"/>
                <w:szCs w:val="21"/>
              </w:rPr>
            </w:pPr>
          </w:p>
        </w:tc>
        <w:tc>
          <w:tcPr>
            <w:tcW w:w="263" w:type="pct"/>
            <w:vMerge w:val="continue"/>
            <w:tcBorders>
              <w:top w:val="nil"/>
              <w:left w:val="single" w:color="000000" w:sz="4" w:space="0"/>
              <w:bottom w:val="single" w:color="auto" w:sz="4" w:space="0"/>
              <w:right w:val="single" w:color="000000" w:sz="4" w:space="0"/>
            </w:tcBorders>
            <w:vAlign w:val="center"/>
          </w:tcPr>
          <w:p>
            <w:pPr>
              <w:jc w:val="center"/>
              <w:rPr>
                <w:rFonts w:ascii="CESI仿宋-GB2312" w:hAnsi="CESI仿宋-GB2312" w:eastAsia="CESI仿宋-GB2312" w:cs="CESI仿宋-GB2312"/>
                <w:b/>
                <w:color w:val="000000"/>
                <w:szCs w:val="21"/>
              </w:rPr>
            </w:pPr>
          </w:p>
        </w:tc>
        <w:tc>
          <w:tcPr>
            <w:tcW w:w="318" w:type="pct"/>
            <w:vMerge w:val="continue"/>
            <w:tcBorders>
              <w:top w:val="nil"/>
              <w:left w:val="single" w:color="000000" w:sz="4" w:space="0"/>
              <w:bottom w:val="single" w:color="auto" w:sz="4" w:space="0"/>
              <w:right w:val="single" w:color="000000" w:sz="4" w:space="0"/>
            </w:tcBorders>
            <w:vAlign w:val="center"/>
          </w:tcPr>
          <w:p>
            <w:pPr>
              <w:jc w:val="center"/>
              <w:rPr>
                <w:rFonts w:ascii="CESI仿宋-GB2312" w:hAnsi="CESI仿宋-GB2312" w:eastAsia="CESI仿宋-GB2312" w:cs="CESI仿宋-GB2312"/>
                <w:b/>
                <w:color w:val="000000"/>
                <w:szCs w:val="21"/>
              </w:rPr>
            </w:pPr>
          </w:p>
        </w:tc>
        <w:tc>
          <w:tcPr>
            <w:tcW w:w="395" w:type="pct"/>
            <w:vMerge w:val="continue"/>
            <w:tcBorders>
              <w:top w:val="nil"/>
              <w:left w:val="single" w:color="000000" w:sz="4" w:space="0"/>
              <w:bottom w:val="single" w:color="auto" w:sz="4" w:space="0"/>
              <w:right w:val="single" w:color="000000" w:sz="4" w:space="0"/>
            </w:tcBorders>
            <w:vAlign w:val="center"/>
          </w:tcPr>
          <w:p>
            <w:pPr>
              <w:jc w:val="center"/>
              <w:rPr>
                <w:rFonts w:ascii="CESI仿宋-GB2312" w:hAnsi="CESI仿宋-GB2312" w:eastAsia="CESI仿宋-GB2312" w:cs="CESI仿宋-GB2312"/>
                <w:b/>
                <w:color w:val="000000"/>
                <w:szCs w:val="21"/>
              </w:rPr>
            </w:pPr>
          </w:p>
        </w:tc>
      </w:tr>
      <w:tr>
        <w:tblPrEx>
          <w:tblCellMar>
            <w:top w:w="0" w:type="dxa"/>
            <w:left w:w="108" w:type="dxa"/>
            <w:bottom w:w="0" w:type="dxa"/>
            <w:right w:w="108" w:type="dxa"/>
          </w:tblCellMar>
        </w:tblPrEx>
        <w:trPr>
          <w:trHeight w:val="1564" w:hRule="atLeast"/>
        </w:trPr>
        <w:tc>
          <w:tcPr>
            <w:tcW w:w="152"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w:t>
            </w:r>
          </w:p>
        </w:tc>
        <w:tc>
          <w:tcPr>
            <w:tcW w:w="44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C2600400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C010</w:t>
            </w:r>
          </w:p>
        </w:tc>
        <w:tc>
          <w:tcPr>
            <w:tcW w:w="413" w:type="pct"/>
            <w:vMerge w:val="restar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粮食收购企业未按照规定备案或者提供虚假备</w:t>
            </w:r>
            <w:r>
              <w:rPr>
                <w:rFonts w:hint="eastAsia" w:ascii="宋体" w:hAnsi="宋体" w:cs="宋体"/>
                <w:color w:val="000000"/>
                <w:spacing w:val="-20"/>
                <w:kern w:val="0"/>
                <w:szCs w:val="21"/>
              </w:rPr>
              <w:t>案</w:t>
            </w:r>
            <w:r>
              <w:rPr>
                <w:rFonts w:hint="eastAsia" w:ascii="宋体" w:hAnsi="宋体" w:cs="宋体"/>
                <w:color w:val="000000"/>
                <w:kern w:val="0"/>
                <w:szCs w:val="21"/>
              </w:rPr>
              <w:t>信息的行为。</w:t>
            </w:r>
          </w:p>
        </w:tc>
        <w:tc>
          <w:tcPr>
            <w:tcW w:w="375" w:type="pct"/>
            <w:vMerge w:val="restar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《粮食流通管理条例》第九条第二款</w:t>
            </w:r>
          </w:p>
        </w:tc>
        <w:tc>
          <w:tcPr>
            <w:tcW w:w="391" w:type="pct"/>
            <w:vMerge w:val="restar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《粮食流通管理条例》第四十三条</w:t>
            </w:r>
          </w:p>
        </w:tc>
        <w:tc>
          <w:tcPr>
            <w:tcW w:w="1077"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粮食收购企业未按照规定备案或者提供虚假备案信息的。</w:t>
            </w:r>
          </w:p>
        </w:tc>
        <w:tc>
          <w:tcPr>
            <w:tcW w:w="1168"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责令改正，给予警告。</w:t>
            </w:r>
          </w:p>
        </w:tc>
        <w:tc>
          <w:tcPr>
            <w:tcW w:w="26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不纳入</w:t>
            </w:r>
          </w:p>
        </w:tc>
        <w:tc>
          <w:tcPr>
            <w:tcW w:w="31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不公示</w:t>
            </w:r>
          </w:p>
        </w:tc>
        <w:tc>
          <w:tcPr>
            <w:tcW w:w="39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3464" w:hRule="atLeast"/>
        </w:trPr>
        <w:tc>
          <w:tcPr>
            <w:tcW w:w="152" w:type="pct"/>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C2600400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C020</w:t>
            </w:r>
          </w:p>
        </w:tc>
        <w:tc>
          <w:tcPr>
            <w:tcW w:w="4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Cs w:val="21"/>
              </w:rPr>
            </w:pPr>
          </w:p>
        </w:tc>
        <w:tc>
          <w:tcPr>
            <w:tcW w:w="37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Cs w:val="21"/>
              </w:rPr>
            </w:pPr>
          </w:p>
        </w:tc>
        <w:tc>
          <w:tcPr>
            <w:tcW w:w="3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Cs w:val="21"/>
              </w:rPr>
            </w:pPr>
          </w:p>
        </w:tc>
        <w:tc>
          <w:tcPr>
            <w:tcW w:w="1077"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拒不改正的。</w:t>
            </w:r>
          </w:p>
        </w:tc>
        <w:tc>
          <w:tcPr>
            <w:tcW w:w="1168"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处2万元以上5万元以下罚款。</w:t>
            </w:r>
          </w:p>
        </w:tc>
        <w:tc>
          <w:tcPr>
            <w:tcW w:w="26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395"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970" w:hRule="atLeast"/>
        </w:trPr>
        <w:tc>
          <w:tcPr>
            <w:tcW w:w="152"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w:t>
            </w:r>
          </w:p>
        </w:tc>
        <w:tc>
          <w:tcPr>
            <w:tcW w:w="442" w:type="pct"/>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C2600500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粮食收购者未执行国家粮食质量标准的行为。</w:t>
            </w:r>
          </w:p>
        </w:tc>
        <w:tc>
          <w:tcPr>
            <w:tcW w:w="375" w:type="pct"/>
            <w:vMerge w:val="restar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《粮食流通管理条例》第十一条第一款、《粮食质量安全监管办法》第十三条</w:t>
            </w:r>
          </w:p>
        </w:tc>
        <w:tc>
          <w:tcPr>
            <w:tcW w:w="391" w:type="pct"/>
            <w:vMerge w:val="restar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《粮食流通管理条例》第四十五条第（一）项、第五十一条、《粮食质量安全监管办法》第四十六条</w:t>
            </w:r>
          </w:p>
        </w:tc>
        <w:tc>
          <w:tcPr>
            <w:tcW w:w="1077" w:type="pct"/>
            <w:tcBorders>
              <w:top w:val="single" w:color="auto" w:sz="4" w:space="0"/>
              <w:left w:val="single" w:color="auto"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粮食收购者未执行国家粮食质量标准，情节较轻的。</w:t>
            </w:r>
          </w:p>
        </w:tc>
        <w:tc>
          <w:tcPr>
            <w:tcW w:w="1168" w:type="pct"/>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责令改正，给予警告。</w:t>
            </w:r>
          </w:p>
        </w:tc>
        <w:tc>
          <w:tcPr>
            <w:tcW w:w="797"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不纳入</w:t>
            </w:r>
          </w:p>
        </w:tc>
        <w:tc>
          <w:tcPr>
            <w:tcW w:w="96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不公示</w:t>
            </w:r>
          </w:p>
        </w:tc>
        <w:tc>
          <w:tcPr>
            <w:tcW w:w="1198"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w:t>
            </w:r>
          </w:p>
        </w:tc>
      </w:tr>
      <w:tr>
        <w:tblPrEx>
          <w:tblCellMar>
            <w:top w:w="0" w:type="dxa"/>
            <w:left w:w="108" w:type="dxa"/>
            <w:bottom w:w="0" w:type="dxa"/>
            <w:right w:w="108" w:type="dxa"/>
          </w:tblCellMar>
        </w:tblPrEx>
        <w:trPr>
          <w:trHeight w:val="2167" w:hRule="atLeast"/>
        </w:trPr>
        <w:tc>
          <w:tcPr>
            <w:tcW w:w="152" w:type="pct"/>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C2600500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auto"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造成售粮农民或其他粮食生产者的利益受到损害20万元以下的。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法定罚款幅度为20万元。以法定罚款幅度20%为阶次划分标准，设置5个罚款裁量阶次，利益受到损害的金额对应相应罚款档次。责令改正，给予警告，可以并处20万元以下罚款。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3-6个月</w:t>
            </w:r>
          </w:p>
        </w:tc>
      </w:tr>
      <w:tr>
        <w:tblPrEx>
          <w:tblCellMar>
            <w:top w:w="0" w:type="dxa"/>
            <w:left w:w="108" w:type="dxa"/>
            <w:bottom w:w="0" w:type="dxa"/>
            <w:right w:w="108" w:type="dxa"/>
          </w:tblCellMar>
        </w:tblPrEx>
        <w:trPr>
          <w:trHeight w:val="90" w:hRule="atLeast"/>
        </w:trPr>
        <w:tc>
          <w:tcPr>
            <w:tcW w:w="152" w:type="pct"/>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C2600500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A030</w:t>
            </w:r>
          </w:p>
        </w:tc>
        <w:tc>
          <w:tcPr>
            <w:tcW w:w="413" w:type="pct"/>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auto" w:sz="4" w:space="0"/>
              <w:bottom w:val="single" w:color="000000" w:sz="4" w:space="0"/>
              <w:right w:val="single" w:color="000000" w:sz="4" w:space="0"/>
            </w:tcBorders>
            <w:vAlign w:val="center"/>
          </w:tcPr>
          <w:p>
            <w:pPr>
              <w:widowControl/>
              <w:textAlignment w:val="center"/>
              <w:rPr>
                <w:rFonts w:ascii="宋体" w:hAnsi="宋体" w:cs="宋体"/>
                <w:color w:val="auto"/>
                <w:w w:val="90"/>
                <w:kern w:val="0"/>
                <w:szCs w:val="21"/>
              </w:rPr>
            </w:pPr>
            <w:r>
              <w:rPr>
                <w:rFonts w:hint="eastAsia" w:ascii="宋体" w:hAnsi="宋体" w:cs="宋体"/>
                <w:color w:val="auto"/>
                <w:kern w:val="0"/>
                <w:szCs w:val="21"/>
              </w:rPr>
              <w:t>造成售粮农民或其他粮食生产者的利益受到损害20万元以上50万元以下的，或者有其他特别严重情形的。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w:t>
            </w:r>
            <w:r>
              <w:rPr>
                <w:rFonts w:hint="eastAsia" w:ascii="宋体" w:hAnsi="宋体" w:cs="宋体"/>
                <w:color w:val="auto"/>
                <w:kern w:val="0"/>
                <w:szCs w:val="21"/>
                <w:lang w:eastAsia="zh-CN"/>
              </w:rPr>
              <w:t>为</w:t>
            </w:r>
            <w:r>
              <w:rPr>
                <w:rFonts w:hint="eastAsia" w:ascii="宋体" w:hAnsi="宋体" w:cs="宋体"/>
                <w:color w:val="auto"/>
                <w:kern w:val="0"/>
                <w:szCs w:val="21"/>
              </w:rPr>
              <w:t>30万元</w:t>
            </w:r>
            <w:r>
              <w:rPr>
                <w:rFonts w:hint="eastAsia" w:ascii="宋体" w:hAnsi="宋体" w:cs="宋体"/>
                <w:color w:val="auto"/>
                <w:kern w:val="0"/>
                <w:szCs w:val="21"/>
                <w:lang w:eastAsia="zh-CN"/>
              </w:rPr>
              <w:t>。</w:t>
            </w:r>
            <w:r>
              <w:rPr>
                <w:rFonts w:hint="eastAsia" w:ascii="宋体" w:hAnsi="宋体" w:cs="宋体"/>
                <w:color w:val="auto"/>
                <w:kern w:val="0"/>
                <w:szCs w:val="21"/>
              </w:rPr>
              <w:t>以法定罚款幅度20%为阶次划分标准，设置5个罚款裁量阶次，利益受到损害的金额对应相应罚款档次。责令改正，给予警告，可以并处20万元以上50万元以下罚款。对其法定代表人、主要负责人、直接负责的主管人员和其他直接责任人员处以其上一年度从本企业取得收入的1倍以上10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严重</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3-12个月</w:t>
            </w:r>
          </w:p>
        </w:tc>
      </w:tr>
      <w:tr>
        <w:tblPrEx>
          <w:tblCellMar>
            <w:top w:w="0" w:type="dxa"/>
            <w:left w:w="108" w:type="dxa"/>
            <w:bottom w:w="0" w:type="dxa"/>
            <w:right w:w="108" w:type="dxa"/>
          </w:tblCellMar>
        </w:tblPrEx>
        <w:trPr>
          <w:trHeight w:val="1066" w:hRule="atLeast"/>
        </w:trPr>
        <w:tc>
          <w:tcPr>
            <w:tcW w:w="152" w:type="pct"/>
            <w:vMerge w:val="restart"/>
            <w:tcBorders>
              <w:top w:val="single" w:color="auto" w:sz="4" w:space="0"/>
              <w:left w:val="single" w:color="auto" w:sz="4" w:space="0"/>
              <w:bottom w:val="single" w:color="auto"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C2600600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粮食收购者未及时向售粮者支付售粮款的行为。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《粮食流通管理条例》第十一条第一款</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《粮食流通管理条例》第四十五条第（二）项、第五十一条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欠付一个月以下的。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责令改正，给予警告。</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不纳入</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不公示</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w:t>
            </w:r>
          </w:p>
        </w:tc>
      </w:tr>
      <w:tr>
        <w:tblPrEx>
          <w:tblCellMar>
            <w:top w:w="0" w:type="dxa"/>
            <w:left w:w="108" w:type="dxa"/>
            <w:bottom w:w="0" w:type="dxa"/>
            <w:right w:w="108" w:type="dxa"/>
          </w:tblCellMar>
        </w:tblPrEx>
        <w:trPr>
          <w:trHeight w:val="2252" w:hRule="atLeast"/>
        </w:trPr>
        <w:tc>
          <w:tcPr>
            <w:tcW w:w="152" w:type="pct"/>
            <w:vMerge w:val="continue"/>
            <w:tcBorders>
              <w:top w:val="single" w:color="auto" w:sz="4" w:space="0"/>
              <w:left w:val="single" w:color="auto" w:sz="4" w:space="0"/>
              <w:bottom w:val="single" w:color="auto"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C2600600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eastAsia="宋体" w:cs="宋体"/>
                <w:i w:val="0"/>
                <w:color w:val="auto"/>
                <w:kern w:val="0"/>
                <w:sz w:val="21"/>
                <w:szCs w:val="21"/>
                <w:u w:val="none"/>
                <w:lang w:val="en-US" w:eastAsia="zh-CN" w:bidi="ar"/>
              </w:rPr>
              <w:t>欠付</w:t>
            </w:r>
            <w:r>
              <w:rPr>
                <w:rFonts w:hint="eastAsia" w:ascii="宋体" w:hAnsi="宋体" w:cs="宋体"/>
                <w:i w:val="0"/>
                <w:color w:val="auto"/>
                <w:kern w:val="0"/>
                <w:sz w:val="21"/>
                <w:szCs w:val="21"/>
                <w:u w:val="none"/>
                <w:lang w:val="en-US" w:eastAsia="zh-CN" w:bidi="ar"/>
              </w:rPr>
              <w:t>一个月以上三个月</w:t>
            </w:r>
            <w:r>
              <w:rPr>
                <w:rFonts w:hint="eastAsia" w:ascii="宋体" w:hAnsi="宋体" w:eastAsia="宋体" w:cs="宋体"/>
                <w:i w:val="0"/>
                <w:color w:val="auto"/>
                <w:kern w:val="0"/>
                <w:sz w:val="21"/>
                <w:szCs w:val="21"/>
                <w:u w:val="none"/>
                <w:lang w:val="en-US" w:eastAsia="zh-CN" w:bidi="ar"/>
              </w:rPr>
              <w:t>以下</w:t>
            </w:r>
            <w:r>
              <w:rPr>
                <w:rFonts w:hint="eastAsia" w:ascii="宋体" w:hAnsi="宋体" w:cs="宋体"/>
                <w:color w:val="auto"/>
                <w:kern w:val="0"/>
                <w:szCs w:val="21"/>
                <w:lang w:eastAsia="zh-CN"/>
              </w:rPr>
              <w:t>且涉及金额</w:t>
            </w:r>
            <w:r>
              <w:rPr>
                <w:rFonts w:hint="eastAsia" w:ascii="宋体" w:hAnsi="宋体" w:cs="宋体"/>
                <w:color w:val="auto"/>
                <w:kern w:val="0"/>
                <w:szCs w:val="21"/>
                <w:lang w:val="en-US" w:eastAsia="zh-CN"/>
              </w:rPr>
              <w:t>3000</w:t>
            </w:r>
            <w:r>
              <w:rPr>
                <w:rFonts w:hint="eastAsia" w:ascii="宋体" w:hAnsi="宋体" w:cs="宋体"/>
                <w:color w:val="auto"/>
                <w:kern w:val="0"/>
                <w:szCs w:val="21"/>
                <w:lang w:eastAsia="zh-CN"/>
              </w:rPr>
              <w:t>元以上</w:t>
            </w:r>
            <w:r>
              <w:rPr>
                <w:rFonts w:hint="eastAsia" w:ascii="宋体" w:hAnsi="宋体" w:cs="宋体"/>
                <w:color w:val="auto"/>
                <w:kern w:val="0"/>
                <w:szCs w:val="21"/>
              </w:rPr>
              <w:t>20万元以下的。</w:t>
            </w:r>
          </w:p>
        </w:tc>
        <w:tc>
          <w:tcPr>
            <w:tcW w:w="1168" w:type="pct"/>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法定罚款幅度为20万元。以法定罚款幅度20%为阶次划分标准，设置5个罚款裁量阶次，欠付金额对应相应罚款档次。责令改正，给予警告，可以并处20万元以下罚款。</w:t>
            </w:r>
          </w:p>
        </w:tc>
        <w:tc>
          <w:tcPr>
            <w:tcW w:w="263"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12个月</w:t>
            </w:r>
          </w:p>
        </w:tc>
        <w:tc>
          <w:tcPr>
            <w:tcW w:w="395"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r>
      <w:tr>
        <w:tblPrEx>
          <w:tblCellMar>
            <w:top w:w="0" w:type="dxa"/>
            <w:left w:w="108" w:type="dxa"/>
            <w:bottom w:w="0" w:type="dxa"/>
            <w:right w:w="108" w:type="dxa"/>
          </w:tblCellMar>
        </w:tblPrEx>
        <w:trPr>
          <w:trHeight w:val="1575" w:hRule="atLeast"/>
        </w:trPr>
        <w:tc>
          <w:tcPr>
            <w:tcW w:w="152" w:type="pct"/>
            <w:vMerge w:val="continue"/>
            <w:tcBorders>
              <w:top w:val="single" w:color="auto" w:sz="4" w:space="0"/>
              <w:left w:val="single" w:color="auto" w:sz="4" w:space="0"/>
              <w:bottom w:val="single" w:color="auto" w:sz="4" w:space="0"/>
              <w:right w:val="single" w:color="000000" w:sz="4" w:space="0"/>
            </w:tcBorders>
            <w:noWrap/>
            <w:vAlign w:val="center"/>
          </w:tcPr>
          <w:p>
            <w:pPr>
              <w:jc w:val="center"/>
              <w:rPr>
                <w:rFonts w:ascii="宋体" w:hAnsi="宋体" w:cs="宋体"/>
                <w:color w:val="000000"/>
                <w:sz w:val="16"/>
                <w:szCs w:val="16"/>
              </w:rPr>
            </w:pPr>
          </w:p>
        </w:tc>
        <w:tc>
          <w:tcPr>
            <w:tcW w:w="442" w:type="pc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C2600600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A030</w:t>
            </w:r>
          </w:p>
        </w:tc>
        <w:tc>
          <w:tcPr>
            <w:tcW w:w="413"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auto" w:sz="4" w:space="0"/>
              <w:left w:val="single" w:color="000000" w:sz="4" w:space="0"/>
              <w:bottom w:val="single" w:color="auto" w:sz="4" w:space="0"/>
              <w:right w:val="single" w:color="000000" w:sz="4" w:space="0"/>
            </w:tcBorders>
            <w:vAlign w:val="center"/>
          </w:tcPr>
          <w:p>
            <w:pPr>
              <w:keepNext w:val="0"/>
              <w:keepLines w:val="0"/>
              <w:widowControl/>
              <w:numPr>
                <w:ilvl w:val="0"/>
                <w:numId w:val="0"/>
              </w:numPr>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有下列情形之一的：</w:t>
            </w:r>
          </w:p>
          <w:p>
            <w:pPr>
              <w:keepNext w:val="0"/>
              <w:keepLines w:val="0"/>
              <w:widowControl/>
              <w:numPr>
                <w:ilvl w:val="0"/>
                <w:numId w:val="1"/>
              </w:numPr>
              <w:suppressLineNumbers w:val="0"/>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欠付</w:t>
            </w:r>
            <w:r>
              <w:rPr>
                <w:rFonts w:hint="eastAsia" w:ascii="宋体" w:hAnsi="宋体" w:cs="宋体"/>
                <w:i w:val="0"/>
                <w:color w:val="auto"/>
                <w:kern w:val="0"/>
                <w:sz w:val="21"/>
                <w:szCs w:val="21"/>
                <w:u w:val="none"/>
                <w:lang w:val="en-US" w:eastAsia="zh-CN" w:bidi="ar"/>
              </w:rPr>
              <w:t>三个月</w:t>
            </w:r>
            <w:r>
              <w:rPr>
                <w:rFonts w:hint="eastAsia" w:ascii="宋体" w:hAnsi="宋体" w:eastAsia="宋体" w:cs="宋体"/>
                <w:i w:val="0"/>
                <w:color w:val="auto"/>
                <w:kern w:val="0"/>
                <w:sz w:val="21"/>
                <w:szCs w:val="21"/>
                <w:u w:val="none"/>
                <w:lang w:val="en-US" w:eastAsia="zh-CN" w:bidi="ar"/>
              </w:rPr>
              <w:t>以上的</w:t>
            </w:r>
            <w:r>
              <w:rPr>
                <w:rFonts w:hint="eastAsia" w:ascii="宋体" w:hAnsi="宋体" w:cs="宋体"/>
                <w:i w:val="0"/>
                <w:color w:val="auto"/>
                <w:kern w:val="0"/>
                <w:sz w:val="21"/>
                <w:szCs w:val="21"/>
                <w:u w:val="none"/>
                <w:lang w:val="en-US" w:eastAsia="zh-CN" w:bidi="ar"/>
              </w:rPr>
              <w:t>。</w:t>
            </w:r>
          </w:p>
          <w:p>
            <w:pPr>
              <w:widowControl/>
              <w:textAlignment w:val="center"/>
              <w:rPr>
                <w:rFonts w:ascii="宋体" w:hAnsi="宋体" w:cs="宋体"/>
                <w:color w:val="auto"/>
                <w:kern w:val="0"/>
                <w:szCs w:val="21"/>
              </w:rPr>
            </w:pPr>
            <w:r>
              <w:rPr>
                <w:rFonts w:hint="eastAsia" w:ascii="宋体" w:hAnsi="宋体" w:cs="宋体"/>
                <w:color w:val="auto"/>
                <w:kern w:val="0"/>
                <w:szCs w:val="21"/>
                <w:lang w:val="en-US" w:eastAsia="zh-CN"/>
              </w:rPr>
              <w:t>2.</w:t>
            </w:r>
            <w:r>
              <w:rPr>
                <w:rFonts w:hint="eastAsia" w:ascii="宋体" w:hAnsi="宋体" w:cs="宋体"/>
                <w:color w:val="auto"/>
                <w:kern w:val="0"/>
                <w:szCs w:val="21"/>
              </w:rPr>
              <w:t>欠付20万元以上50万元以下的，或者有其他特别严重情形的。</w:t>
            </w:r>
          </w:p>
        </w:tc>
        <w:tc>
          <w:tcPr>
            <w:tcW w:w="1168" w:type="pc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w:t>
            </w:r>
            <w:r>
              <w:rPr>
                <w:rFonts w:hint="eastAsia" w:ascii="宋体" w:hAnsi="宋体" w:cs="宋体"/>
                <w:color w:val="auto"/>
                <w:kern w:val="0"/>
                <w:szCs w:val="21"/>
                <w:lang w:eastAsia="zh-CN"/>
              </w:rPr>
              <w:t>为</w:t>
            </w:r>
            <w:r>
              <w:rPr>
                <w:rFonts w:hint="eastAsia" w:ascii="宋体" w:hAnsi="宋体" w:cs="宋体"/>
                <w:color w:val="auto"/>
                <w:kern w:val="0"/>
                <w:szCs w:val="21"/>
              </w:rPr>
              <w:t>30万元</w:t>
            </w:r>
            <w:r>
              <w:rPr>
                <w:rFonts w:hint="eastAsia" w:ascii="宋体" w:hAnsi="宋体" w:cs="宋体"/>
                <w:color w:val="auto"/>
                <w:kern w:val="0"/>
                <w:szCs w:val="21"/>
                <w:lang w:eastAsia="zh-CN"/>
              </w:rPr>
              <w:t>。</w:t>
            </w:r>
            <w:r>
              <w:rPr>
                <w:rFonts w:hint="eastAsia" w:ascii="宋体" w:hAnsi="宋体" w:cs="宋体"/>
                <w:color w:val="auto"/>
                <w:kern w:val="0"/>
                <w:szCs w:val="21"/>
              </w:rPr>
              <w:t>以法定罚款幅度20%为阶次划分标准，设置5个罚款裁量阶次，欠付金额对应相应罚款档次。责令改正，给予警告，可以并处20万元以上50万元以下罚款。对其法定代表人、主要负责人、直接负责的主管人员和其他直接责任人员处以其上一年度从本企业取得收入的1倍以上10倍以下罚款。</w:t>
            </w:r>
          </w:p>
        </w:tc>
        <w:tc>
          <w:tcPr>
            <w:tcW w:w="263" w:type="pc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2869" w:hRule="atLeast"/>
        </w:trPr>
        <w:tc>
          <w:tcPr>
            <w:tcW w:w="152" w:type="pct"/>
            <w:vMerge w:val="restar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7</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C2600700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i/>
                <w:iCs/>
                <w:color w:val="000000"/>
                <w:kern w:val="0"/>
                <w:szCs w:val="21"/>
              </w:rPr>
            </w:pPr>
            <w:r>
              <w:rPr>
                <w:rFonts w:hint="eastAsia" w:ascii="宋体" w:hAnsi="宋体" w:cs="宋体"/>
                <w:color w:val="000000"/>
                <w:kern w:val="0"/>
                <w:szCs w:val="21"/>
              </w:rPr>
              <w:t>粮食收购者违反《粮食流通管理条例》规定代扣、代缴税、费和其他款项的行为。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《粮食流通管理条例》第十一条第一款</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《粮食流通管理条例》第四十五条第（三）项、第五十一条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代扣、代缴税、费和其他款项20万元以下的。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法定罚款幅度为20万元。以法定罚款幅度20%为阶次划分标准，设置5个罚款裁量阶次，代扣、代缴税、费和其他款项金额对应相应罚款档次。责令改正，给予警告，可以并处20万元以下罚款。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r>
      <w:tr>
        <w:tblPrEx>
          <w:tblCellMar>
            <w:top w:w="0" w:type="dxa"/>
            <w:left w:w="108" w:type="dxa"/>
            <w:bottom w:w="0" w:type="dxa"/>
            <w:right w:w="108" w:type="dxa"/>
          </w:tblCellMar>
        </w:tblPrEx>
        <w:trPr>
          <w:trHeight w:val="4025" w:hRule="atLeast"/>
        </w:trPr>
        <w:tc>
          <w:tcPr>
            <w:tcW w:w="152" w:type="pct"/>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ascii="宋体" w:hAnsi="宋体" w:cs="宋体"/>
                <w:color w:val="000000"/>
                <w:sz w:val="16"/>
                <w:szCs w:val="16"/>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C2600700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代扣、代缴税、费和其他款项20万元以上50万元以下的，或者有其他特别严重情形的。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w:t>
            </w:r>
            <w:r>
              <w:rPr>
                <w:rFonts w:hint="eastAsia" w:ascii="宋体" w:hAnsi="宋体" w:cs="宋体"/>
                <w:color w:val="auto"/>
                <w:kern w:val="0"/>
                <w:szCs w:val="21"/>
                <w:lang w:eastAsia="zh-CN"/>
              </w:rPr>
              <w:t>为</w:t>
            </w:r>
            <w:r>
              <w:rPr>
                <w:rFonts w:hint="eastAsia" w:ascii="宋体" w:hAnsi="宋体" w:cs="宋体"/>
                <w:color w:val="auto"/>
                <w:kern w:val="0"/>
                <w:szCs w:val="21"/>
              </w:rPr>
              <w:t>30万元</w:t>
            </w:r>
            <w:r>
              <w:rPr>
                <w:rFonts w:hint="eastAsia" w:ascii="宋体" w:hAnsi="宋体" w:cs="宋体"/>
                <w:color w:val="auto"/>
                <w:kern w:val="0"/>
                <w:szCs w:val="21"/>
                <w:lang w:eastAsia="zh-CN"/>
              </w:rPr>
              <w:t>。</w:t>
            </w:r>
            <w:r>
              <w:rPr>
                <w:rFonts w:hint="eastAsia" w:ascii="宋体" w:hAnsi="宋体" w:cs="宋体"/>
                <w:color w:val="auto"/>
                <w:kern w:val="0"/>
                <w:szCs w:val="21"/>
              </w:rPr>
              <w:t>以法定罚款幅度20%为阶次划分标准，设置5个罚款裁量阶次，代扣、代缴税、费和其他款项金额对应相应罚款档次。责令改正，给予警告，可以并处20万元以上50万元以下罚款。对其法定代表人、主要负责人、直接负责的主管人员和其他直接责任人员处以其上一年度从本企业取得收入的1倍以上10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1639" w:hRule="atLeast"/>
        </w:trPr>
        <w:tc>
          <w:tcPr>
            <w:tcW w:w="152" w:type="pct"/>
            <w:vMerge w:val="restar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8</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C2600800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B010</w:t>
            </w:r>
          </w:p>
        </w:tc>
        <w:tc>
          <w:tcPr>
            <w:tcW w:w="413"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从事粮食收购、销售、储存、加工的粮食经营者以及饲料、工业用粮企业未建立粮食经营台账的行为。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《中华人民共和国粮食安全保障法》第三十七条、《粮食流通管理条例》第二十三条第一款</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《中华人民共和国粮食安全保障法》第六十七条第二款、《粮食流通管理条例》第四十五条第（五）项、第五十一条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未建立粮食经营台账的。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责令改正，给予警告。</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不纳入</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不公示</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1449" w:hRule="atLeast"/>
        </w:trPr>
        <w:tc>
          <w:tcPr>
            <w:tcW w:w="152"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C2600800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B020</w:t>
            </w:r>
          </w:p>
        </w:tc>
        <w:tc>
          <w:tcPr>
            <w:tcW w:w="413"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警告后未按照责令改正要求及时完成改正的。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责令改正，给予警告，可以并处10万元以下罚款。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000000"/>
                <w:kern w:val="0"/>
                <w:szCs w:val="21"/>
              </w:rPr>
            </w:pPr>
            <w:r>
              <w:rPr>
                <w:rFonts w:hint="eastAsia" w:ascii="宋体" w:hAnsi="宋体" w:cs="宋体"/>
                <w:color w:val="000000"/>
                <w:kern w:val="0"/>
                <w:szCs w:val="21"/>
                <w:lang w:val="en-US" w:eastAsia="zh-CN"/>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000000"/>
                <w:kern w:val="0"/>
                <w:szCs w:val="21"/>
              </w:rPr>
            </w:pPr>
            <w:r>
              <w:rPr>
                <w:rFonts w:hint="eastAsia" w:ascii="宋体" w:hAnsi="宋体" w:cs="宋体"/>
                <w:color w:val="000000"/>
                <w:kern w:val="0"/>
                <w:szCs w:val="21"/>
                <w:lang w:val="en-US" w:eastAsia="zh-CN"/>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000000"/>
                <w:kern w:val="0"/>
                <w:szCs w:val="21"/>
              </w:rPr>
            </w:pPr>
            <w:r>
              <w:rPr>
                <w:rFonts w:hint="eastAsia" w:ascii="宋体" w:hAnsi="宋体" w:cs="宋体"/>
                <w:color w:val="000000"/>
                <w:kern w:val="0"/>
                <w:szCs w:val="21"/>
                <w:lang w:val="en-US" w:eastAsia="zh-CN"/>
              </w:rPr>
              <w:t>3个月</w:t>
            </w:r>
          </w:p>
        </w:tc>
      </w:tr>
      <w:tr>
        <w:tblPrEx>
          <w:tblCellMar>
            <w:top w:w="0" w:type="dxa"/>
            <w:left w:w="108" w:type="dxa"/>
            <w:bottom w:w="0" w:type="dxa"/>
            <w:right w:w="108" w:type="dxa"/>
          </w:tblCellMar>
        </w:tblPrEx>
        <w:trPr>
          <w:trHeight w:val="1812" w:hRule="atLeast"/>
        </w:trPr>
        <w:tc>
          <w:tcPr>
            <w:tcW w:w="152"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C2600800</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B030</w:t>
            </w:r>
          </w:p>
        </w:tc>
        <w:tc>
          <w:tcPr>
            <w:tcW w:w="413"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lang w:val="en-US" w:eastAsia="zh-CN"/>
              </w:rPr>
            </w:pPr>
            <w:r>
              <w:rPr>
                <w:rFonts w:hint="eastAsia" w:ascii="宋体" w:hAnsi="宋体" w:eastAsia="宋体" w:cs="宋体"/>
                <w:i w:val="0"/>
                <w:color w:val="auto"/>
                <w:kern w:val="0"/>
                <w:sz w:val="21"/>
                <w:szCs w:val="21"/>
                <w:u w:val="none"/>
                <w:lang w:val="en-US" w:eastAsia="zh-CN" w:bidi="ar"/>
              </w:rPr>
              <w:t>未建立粮食经营台账造成负面社会影响或严重危害后果的。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lang w:val="en-US" w:eastAsia="zh-CN"/>
              </w:rPr>
            </w:pPr>
            <w:r>
              <w:rPr>
                <w:rFonts w:hint="eastAsia" w:ascii="宋体" w:hAnsi="宋体" w:cs="宋体"/>
                <w:color w:val="auto"/>
                <w:kern w:val="0"/>
                <w:szCs w:val="21"/>
              </w:rPr>
              <w:t>法定罚款幅度为</w:t>
            </w:r>
            <w:r>
              <w:rPr>
                <w:rFonts w:hint="eastAsia" w:ascii="宋体" w:hAnsi="宋体" w:cs="宋体"/>
                <w:color w:val="auto"/>
                <w:kern w:val="0"/>
                <w:szCs w:val="21"/>
                <w:lang w:val="en-US" w:eastAsia="zh-CN"/>
              </w:rPr>
              <w:t>1</w:t>
            </w:r>
            <w:r>
              <w:rPr>
                <w:rFonts w:hint="eastAsia" w:ascii="宋体" w:hAnsi="宋体" w:cs="宋体"/>
                <w:color w:val="auto"/>
                <w:kern w:val="0"/>
                <w:szCs w:val="21"/>
              </w:rPr>
              <w:t>0万元。以法定罚款幅度20%为阶次划分标准，设置5个罚款裁量阶次，涉及粮食货值金额对应相应罚款档次。责令改正，给予警告，可以并处</w:t>
            </w:r>
            <w:r>
              <w:rPr>
                <w:rFonts w:hint="eastAsia" w:ascii="宋体" w:hAnsi="宋体" w:cs="宋体"/>
                <w:color w:val="auto"/>
                <w:kern w:val="0"/>
                <w:szCs w:val="21"/>
                <w:lang w:val="en-US" w:eastAsia="zh-CN"/>
              </w:rPr>
              <w:t>10万元以上</w:t>
            </w:r>
            <w:r>
              <w:rPr>
                <w:rFonts w:hint="eastAsia" w:ascii="宋体" w:hAnsi="宋体" w:cs="宋体"/>
                <w:color w:val="auto"/>
                <w:kern w:val="0"/>
                <w:szCs w:val="21"/>
              </w:rPr>
              <w:t>20万元以下罚款。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3个月</w:t>
            </w:r>
          </w:p>
        </w:tc>
      </w:tr>
      <w:tr>
        <w:tblPrEx>
          <w:tblCellMar>
            <w:top w:w="0" w:type="dxa"/>
            <w:left w:w="108" w:type="dxa"/>
            <w:bottom w:w="0" w:type="dxa"/>
            <w:right w:w="108" w:type="dxa"/>
          </w:tblCellMar>
        </w:tblPrEx>
        <w:trPr>
          <w:trHeight w:val="3477" w:hRule="atLeast"/>
        </w:trPr>
        <w:tc>
          <w:tcPr>
            <w:tcW w:w="152"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C2600800</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B0</w:t>
            </w:r>
            <w:r>
              <w:rPr>
                <w:rFonts w:hint="eastAsia" w:ascii="宋体" w:hAnsi="宋体" w:cs="宋体"/>
                <w:color w:val="000000"/>
                <w:kern w:val="0"/>
                <w:szCs w:val="21"/>
                <w:lang w:val="en-US" w:eastAsia="zh-CN"/>
              </w:rPr>
              <w:t>4</w:t>
            </w:r>
            <w:r>
              <w:rPr>
                <w:rFonts w:hint="eastAsia" w:ascii="宋体" w:hAnsi="宋体" w:cs="宋体"/>
                <w:color w:val="000000"/>
                <w:kern w:val="0"/>
                <w:szCs w:val="21"/>
              </w:rPr>
              <w:t>0</w:t>
            </w:r>
          </w:p>
        </w:tc>
        <w:tc>
          <w:tcPr>
            <w:tcW w:w="413"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有下列情形之一的：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1.未建立粮食经营台账造成特别恶劣社会影响或导致特别严重危害后果的。</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2.有其他情节严重情形的。</w:t>
            </w:r>
          </w:p>
          <w:p>
            <w:pPr>
              <w:widowControl/>
              <w:textAlignment w:val="center"/>
              <w:rPr>
                <w:rFonts w:hint="eastAsia" w:ascii="宋体" w:hAnsi="宋体" w:eastAsia="宋体" w:cs="宋体"/>
                <w:color w:val="auto"/>
                <w:kern w:val="0"/>
                <w:szCs w:val="21"/>
                <w:lang w:eastAsia="zh-CN"/>
              </w:rPr>
            </w:pP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rPr>
            </w:pPr>
            <w:r>
              <w:rPr>
                <w:rFonts w:hint="eastAsia" w:ascii="宋体" w:hAnsi="宋体" w:cs="宋体"/>
                <w:color w:val="auto"/>
                <w:kern w:val="0"/>
                <w:szCs w:val="21"/>
              </w:rPr>
              <w:t>法定罚款幅度</w:t>
            </w:r>
            <w:r>
              <w:rPr>
                <w:rFonts w:hint="eastAsia" w:ascii="宋体" w:hAnsi="宋体" w:cs="宋体"/>
                <w:color w:val="auto"/>
                <w:kern w:val="0"/>
                <w:szCs w:val="21"/>
                <w:lang w:eastAsia="zh-CN"/>
              </w:rPr>
              <w:t>为</w:t>
            </w:r>
            <w:r>
              <w:rPr>
                <w:rFonts w:hint="eastAsia" w:ascii="宋体" w:hAnsi="宋体" w:cs="宋体"/>
                <w:color w:val="auto"/>
                <w:kern w:val="0"/>
                <w:szCs w:val="21"/>
              </w:rPr>
              <w:t>30万元</w:t>
            </w:r>
            <w:r>
              <w:rPr>
                <w:rFonts w:hint="eastAsia" w:ascii="宋体" w:hAnsi="宋体" w:cs="宋体"/>
                <w:color w:val="auto"/>
                <w:kern w:val="0"/>
                <w:szCs w:val="21"/>
                <w:lang w:eastAsia="zh-CN"/>
              </w:rPr>
              <w:t>。</w:t>
            </w:r>
            <w:r>
              <w:rPr>
                <w:rFonts w:hint="eastAsia" w:ascii="宋体" w:hAnsi="宋体" w:cs="宋体"/>
                <w:color w:val="auto"/>
                <w:kern w:val="0"/>
                <w:szCs w:val="21"/>
              </w:rPr>
              <w:t>以法定罚款幅度20%为阶次划分标准，设置5个罚款裁量阶次，涉及粮食货值金额</w:t>
            </w:r>
            <w:r>
              <w:rPr>
                <w:rFonts w:hint="eastAsia" w:ascii="宋体" w:hAnsi="宋体" w:cs="宋体"/>
                <w:color w:val="auto"/>
                <w:kern w:val="0"/>
                <w:szCs w:val="21"/>
                <w:lang w:eastAsia="zh-CN"/>
              </w:rPr>
              <w:t>对应</w:t>
            </w:r>
            <w:r>
              <w:rPr>
                <w:rFonts w:hint="eastAsia" w:ascii="宋体" w:hAnsi="宋体" w:cs="宋体"/>
                <w:color w:val="auto"/>
                <w:kern w:val="0"/>
                <w:szCs w:val="21"/>
              </w:rPr>
              <w:t>相应罚款档次。责令改正，给予警告，可以并处20万元以上50万元以下罚款。对其法定代表人、主要负责人、直接负责的主管人员和其他直接责任人员处以其上一年度从本企业取得收入的1倍以上10倍以下罚款。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3-6个月</w:t>
            </w:r>
          </w:p>
        </w:tc>
      </w:tr>
      <w:tr>
        <w:tblPrEx>
          <w:tblCellMar>
            <w:top w:w="0" w:type="dxa"/>
            <w:left w:w="108" w:type="dxa"/>
            <w:bottom w:w="0" w:type="dxa"/>
            <w:right w:w="108" w:type="dxa"/>
          </w:tblCellMar>
        </w:tblPrEx>
        <w:trPr>
          <w:trHeight w:val="1613" w:hRule="atLeast"/>
        </w:trPr>
        <w:tc>
          <w:tcPr>
            <w:tcW w:w="152" w:type="pct"/>
            <w:vMerge w:val="restar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9</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C2600900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B010</w:t>
            </w:r>
          </w:p>
        </w:tc>
        <w:tc>
          <w:tcPr>
            <w:tcW w:w="413"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从事粮食收购、销售、储存、加工的粮食经营者以及饲料、工业用粮企业未按照规定报送粮食基本数据和有关情况的行为。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《中华人民共和国粮食安全保障法》第三十七条、《粮食流通管理条例》第二十三条第一款</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《中华人民共和国粮食安全保障法》第六十七条第二款、《粮食流通管理条例》第四十五条第（五）项、第五十一条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未按照规定报送粮食基本数据和有关情况，经责令改正，未予改正的。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责令改正，给予警告。</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不纳入</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不公示</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1563" w:hRule="atLeast"/>
        </w:trPr>
        <w:tc>
          <w:tcPr>
            <w:tcW w:w="152"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C2600900</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B020</w:t>
            </w:r>
          </w:p>
        </w:tc>
        <w:tc>
          <w:tcPr>
            <w:tcW w:w="413"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hint="eastAsia"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hint="eastAsia" w:ascii="宋体" w:hAnsi="宋体" w:cs="宋体"/>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hint="eastAsia" w:ascii="宋体" w:hAnsi="宋体" w:cs="宋体"/>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警告后仍不改正的。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责令改正，给予警告，可以并处10万元以下罚款。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rPr>
            </w:pPr>
            <w:r>
              <w:rPr>
                <w:rFonts w:hint="eastAsia" w:ascii="宋体" w:hAnsi="宋体" w:cs="宋体"/>
                <w:color w:val="auto"/>
                <w:kern w:val="0"/>
                <w:szCs w:val="21"/>
                <w:lang w:val="en-US" w:eastAsia="zh-CN"/>
              </w:rPr>
              <w:t>3个月</w:t>
            </w:r>
          </w:p>
        </w:tc>
      </w:tr>
      <w:tr>
        <w:tblPrEx>
          <w:tblCellMar>
            <w:top w:w="0" w:type="dxa"/>
            <w:left w:w="108" w:type="dxa"/>
            <w:bottom w:w="0" w:type="dxa"/>
            <w:right w:w="108" w:type="dxa"/>
          </w:tblCellMar>
        </w:tblPrEx>
        <w:trPr>
          <w:trHeight w:val="2602" w:hRule="atLeast"/>
        </w:trPr>
        <w:tc>
          <w:tcPr>
            <w:tcW w:w="152"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C2600900</w:t>
            </w:r>
          </w:p>
          <w:p>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rPr>
              <w:t>B030</w:t>
            </w:r>
          </w:p>
        </w:tc>
        <w:tc>
          <w:tcPr>
            <w:tcW w:w="413"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hint="eastAsia"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hint="eastAsia" w:ascii="宋体" w:hAnsi="宋体" w:cs="宋体"/>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hint="eastAsia" w:ascii="宋体" w:hAnsi="宋体" w:cs="宋体"/>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蓄意虚报、瞒报、拒报粮食基本数据和有关情况，或弄虚作假的。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lang w:val="en-US" w:eastAsia="zh-CN"/>
              </w:rPr>
            </w:pPr>
            <w:r>
              <w:rPr>
                <w:rFonts w:hint="eastAsia" w:ascii="宋体" w:hAnsi="宋体" w:cs="宋体"/>
                <w:color w:val="auto"/>
                <w:kern w:val="0"/>
                <w:szCs w:val="21"/>
              </w:rPr>
              <w:t>法定罚款幅度为</w:t>
            </w:r>
            <w:r>
              <w:rPr>
                <w:rFonts w:hint="eastAsia" w:ascii="宋体" w:hAnsi="宋体" w:cs="宋体"/>
                <w:color w:val="auto"/>
                <w:kern w:val="0"/>
                <w:szCs w:val="21"/>
                <w:lang w:val="en-US" w:eastAsia="zh-CN"/>
              </w:rPr>
              <w:t>1</w:t>
            </w:r>
            <w:r>
              <w:rPr>
                <w:rFonts w:hint="eastAsia" w:ascii="宋体" w:hAnsi="宋体" w:cs="宋体"/>
                <w:color w:val="auto"/>
                <w:kern w:val="0"/>
                <w:szCs w:val="21"/>
              </w:rPr>
              <w:t>0万元。以法定罚款幅度20%为阶次划分标准，设置5个罚款裁量阶次，涉及粮食货值金额对应相应罚款档次。责令改正，给予警告，可以并处</w:t>
            </w:r>
            <w:r>
              <w:rPr>
                <w:rFonts w:hint="eastAsia" w:ascii="宋体" w:hAnsi="宋体" w:cs="宋体"/>
                <w:color w:val="auto"/>
                <w:kern w:val="0"/>
                <w:szCs w:val="21"/>
                <w:lang w:val="en-US" w:eastAsia="zh-CN"/>
              </w:rPr>
              <w:t>10万元以上</w:t>
            </w:r>
            <w:r>
              <w:rPr>
                <w:rFonts w:hint="eastAsia" w:ascii="宋体" w:hAnsi="宋体" w:cs="宋体"/>
                <w:color w:val="auto"/>
                <w:kern w:val="0"/>
                <w:szCs w:val="21"/>
              </w:rPr>
              <w:t>20万元以下罚款。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3个月</w:t>
            </w:r>
          </w:p>
        </w:tc>
      </w:tr>
      <w:tr>
        <w:tblPrEx>
          <w:tblCellMar>
            <w:top w:w="0" w:type="dxa"/>
            <w:left w:w="108" w:type="dxa"/>
            <w:bottom w:w="0" w:type="dxa"/>
            <w:right w:w="108" w:type="dxa"/>
          </w:tblCellMar>
        </w:tblPrEx>
        <w:trPr>
          <w:trHeight w:val="2227" w:hRule="atLeast"/>
        </w:trPr>
        <w:tc>
          <w:tcPr>
            <w:tcW w:w="152"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C2600900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w:t>
            </w:r>
            <w:r>
              <w:rPr>
                <w:rFonts w:hint="eastAsia" w:ascii="宋体" w:hAnsi="宋体" w:cs="宋体"/>
                <w:color w:val="000000"/>
                <w:kern w:val="0"/>
                <w:szCs w:val="21"/>
                <w:lang w:val="en-US" w:eastAsia="zh-CN"/>
              </w:rPr>
              <w:t>4</w:t>
            </w:r>
            <w:r>
              <w:rPr>
                <w:rFonts w:hint="eastAsia" w:ascii="宋体" w:hAnsi="宋体" w:cs="宋体"/>
                <w:color w:val="000000"/>
                <w:kern w:val="0"/>
                <w:szCs w:val="21"/>
              </w:rPr>
              <w:t>0</w:t>
            </w:r>
          </w:p>
        </w:tc>
        <w:tc>
          <w:tcPr>
            <w:tcW w:w="413"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abs>
                <w:tab w:val="left" w:pos="725"/>
              </w:tabs>
              <w:textAlignment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蓄意虚报、瞒报、拒报粮食基本数据和有关情况或弄虚作假，造成恶劣负面社会影响或严重危害后果的。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w:t>
            </w:r>
            <w:r>
              <w:rPr>
                <w:rFonts w:hint="eastAsia" w:ascii="宋体" w:hAnsi="宋体" w:cs="宋体"/>
                <w:color w:val="auto"/>
                <w:kern w:val="0"/>
                <w:szCs w:val="21"/>
                <w:lang w:eastAsia="zh-CN"/>
              </w:rPr>
              <w:t>为</w:t>
            </w:r>
            <w:r>
              <w:rPr>
                <w:rFonts w:hint="eastAsia" w:ascii="宋体" w:hAnsi="宋体" w:cs="宋体"/>
                <w:color w:val="auto"/>
                <w:kern w:val="0"/>
                <w:szCs w:val="21"/>
              </w:rPr>
              <w:t>30万元</w:t>
            </w:r>
            <w:r>
              <w:rPr>
                <w:rFonts w:hint="eastAsia" w:ascii="宋体" w:hAnsi="宋体" w:cs="宋体"/>
                <w:color w:val="auto"/>
                <w:kern w:val="0"/>
                <w:szCs w:val="21"/>
                <w:lang w:eastAsia="zh-CN"/>
              </w:rPr>
              <w:t>。</w:t>
            </w:r>
            <w:r>
              <w:rPr>
                <w:rFonts w:hint="eastAsia" w:ascii="宋体" w:hAnsi="宋体" w:cs="宋体"/>
                <w:color w:val="auto"/>
                <w:kern w:val="0"/>
                <w:szCs w:val="21"/>
              </w:rPr>
              <w:t>以法定罚款幅度20%为阶次划分标准，设置5个罚款裁量阶次，涉及粮食货值金额对应相应罚款档次。责令改正，给予警告，可以并处20万元以上50万元以下罚款。对其法定代表人、主要负责人、直接负责的主管人员和其他直接责任人员处以其上一年度从本企业取得收入的1倍以上10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r>
      <w:tr>
        <w:tblPrEx>
          <w:tblCellMar>
            <w:top w:w="0" w:type="dxa"/>
            <w:left w:w="108" w:type="dxa"/>
            <w:bottom w:w="0" w:type="dxa"/>
            <w:right w:w="108" w:type="dxa"/>
          </w:tblCellMar>
        </w:tblPrEx>
        <w:trPr>
          <w:trHeight w:val="2315" w:hRule="atLeast"/>
        </w:trPr>
        <w:tc>
          <w:tcPr>
            <w:tcW w:w="152" w:type="pct"/>
            <w:vMerge w:val="restart"/>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Cs w:val="21"/>
              </w:rPr>
              <w:t>10</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C7400200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未按照规定进行粮食销售出库质量安全检验的行为。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《粮食流通管理条例》第十七条第二款、《粮食质量安全监管办法》第十八条第一款第（一）项、第（二）项</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《粮食流通管理条例》第四十五条第（六）项、第五十一条、《粮食质量安全监管办法》第四十六条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正常储存年限内的粮食，未按照规定进行粮食销售出库质量安全检验的，涉及粮食货值金额20万元以下的。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法定罚款幅度为20万元。以法定罚款幅度20%为阶次划分标准，设置5个罚款裁量阶次，涉及粮食货值金额对应相应罚款档次。责令改正，给予警告，可以并处20万元以下罚款。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r>
      <w:tr>
        <w:tblPrEx>
          <w:tblCellMar>
            <w:top w:w="0" w:type="dxa"/>
            <w:left w:w="108" w:type="dxa"/>
            <w:bottom w:w="0" w:type="dxa"/>
            <w:right w:w="108" w:type="dxa"/>
          </w:tblCellMar>
        </w:tblPrEx>
        <w:trPr>
          <w:trHeight w:val="3723" w:hRule="atLeast"/>
        </w:trPr>
        <w:tc>
          <w:tcPr>
            <w:tcW w:w="152" w:type="pct"/>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ascii="宋体" w:hAnsi="宋体" w:cs="宋体"/>
                <w:color w:val="000000"/>
                <w:sz w:val="16"/>
                <w:szCs w:val="16"/>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C7400200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正常储存年限内的粮食，未按照规定进行粮食销售出库质量安全检验的，涉及粮食货值金额20万元以上50万元以下的，或者有其他特别严重情形的。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w:t>
            </w:r>
            <w:r>
              <w:rPr>
                <w:rFonts w:hint="eastAsia" w:ascii="宋体" w:hAnsi="宋体" w:cs="宋体"/>
                <w:color w:val="auto"/>
                <w:kern w:val="0"/>
                <w:szCs w:val="21"/>
                <w:lang w:eastAsia="zh-CN"/>
              </w:rPr>
              <w:t>为</w:t>
            </w:r>
            <w:r>
              <w:rPr>
                <w:rFonts w:hint="eastAsia" w:ascii="宋体" w:hAnsi="宋体" w:cs="宋体"/>
                <w:color w:val="auto"/>
                <w:kern w:val="0"/>
                <w:szCs w:val="21"/>
              </w:rPr>
              <w:t>30万元</w:t>
            </w:r>
            <w:r>
              <w:rPr>
                <w:rFonts w:hint="eastAsia" w:ascii="宋体" w:hAnsi="宋体" w:cs="宋体"/>
                <w:color w:val="auto"/>
                <w:kern w:val="0"/>
                <w:szCs w:val="21"/>
                <w:lang w:eastAsia="zh-CN"/>
              </w:rPr>
              <w:t>。</w:t>
            </w:r>
            <w:r>
              <w:rPr>
                <w:rFonts w:hint="eastAsia" w:ascii="宋体" w:hAnsi="宋体" w:cs="宋体"/>
                <w:color w:val="auto"/>
                <w:kern w:val="0"/>
                <w:szCs w:val="21"/>
              </w:rPr>
              <w:t>以法定罚款幅度20%为阶次划分标准，设置5个罚款裁量阶次，涉及粮食货值金额对应相应罚款档次。责令改正，给予警告，可以并处20万元以上50万元以下罚款。对其法定代表人、主要负责人、直接负责的主管人员和其他直接责任人员处以其上一年度从本企业取得收入的1倍以上10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3263" w:hRule="atLeast"/>
        </w:trPr>
        <w:tc>
          <w:tcPr>
            <w:tcW w:w="152" w:type="pct"/>
            <w:tcBorders>
              <w:top w:val="single" w:color="auto"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Cs w:val="21"/>
              </w:rPr>
              <w:t>11</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C7401800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B000</w:t>
            </w:r>
          </w:p>
        </w:tc>
        <w:tc>
          <w:tcPr>
            <w:tcW w:w="413" w:type="pct"/>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粮食收购者、粮食储存企业未按要求使用仓储设施的行为。</w:t>
            </w:r>
          </w:p>
        </w:tc>
        <w:tc>
          <w:tcPr>
            <w:tcW w:w="375" w:type="pc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《粮食流通管理条例》第十三条、《粮食质量安全监管办法》第十二条</w:t>
            </w:r>
          </w:p>
        </w:tc>
        <w:tc>
          <w:tcPr>
            <w:tcW w:w="391" w:type="pc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《粮食流通管理条例》第四十六条、《粮食质量安全监管办法》第四十六条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粮食收购者、粮食储存企业未按要求使用仓储设施的。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责令改正，给予警告；被污染的粮食不得非法销售、加工。</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不纳入</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不公示</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w:t>
            </w:r>
          </w:p>
        </w:tc>
      </w:tr>
      <w:tr>
        <w:tblPrEx>
          <w:tblCellMar>
            <w:top w:w="0" w:type="dxa"/>
            <w:left w:w="108" w:type="dxa"/>
            <w:bottom w:w="0" w:type="dxa"/>
            <w:right w:w="108" w:type="dxa"/>
          </w:tblCellMar>
        </w:tblPrEx>
        <w:trPr>
          <w:trHeight w:val="3506" w:hRule="atLeast"/>
        </w:trPr>
        <w:tc>
          <w:tcPr>
            <w:tcW w:w="152" w:type="pct"/>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16"/>
                <w:szCs w:val="16"/>
              </w:rPr>
            </w:pPr>
            <w:r>
              <w:rPr>
                <w:rFonts w:hint="eastAsia" w:ascii="宋体" w:hAnsi="宋体" w:cs="宋体"/>
                <w:color w:val="000000"/>
                <w:kern w:val="0"/>
                <w:szCs w:val="21"/>
              </w:rPr>
              <w:t>12</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C7401600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B000</w:t>
            </w:r>
          </w:p>
        </w:tc>
        <w:tc>
          <w:tcPr>
            <w:tcW w:w="413" w:type="pct"/>
            <w:tcBorders>
              <w:top w:val="single" w:color="000000" w:sz="4" w:space="0"/>
              <w:left w:val="single" w:color="000000" w:sz="4" w:space="0"/>
              <w:bottom w:val="single" w:color="000000"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粮食收购者、粮食储存企业未按照规定使用运输工具的行为。</w:t>
            </w:r>
          </w:p>
        </w:tc>
        <w:tc>
          <w:tcPr>
            <w:tcW w:w="375"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《粮食流通管理条例》第十四条、《粮食质量安全监管办法》第二十一条第一款、第二款</w:t>
            </w:r>
          </w:p>
        </w:tc>
        <w:tc>
          <w:tcPr>
            <w:tcW w:w="391"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《粮食流通管理条例》第四十六条、《粮食质量安全监管办法》第四十六条</w:t>
            </w:r>
          </w:p>
        </w:tc>
        <w:tc>
          <w:tcPr>
            <w:tcW w:w="1077" w:type="pct"/>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粮食收购者、粮食储存企业未按照规定使用运输工具的。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责令改正，给予警告；被污染的粮食不得非法销售、加工。</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不纳入</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不公示</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w:t>
            </w:r>
          </w:p>
        </w:tc>
      </w:tr>
      <w:tr>
        <w:tblPrEx>
          <w:tblCellMar>
            <w:top w:w="0" w:type="dxa"/>
            <w:left w:w="108" w:type="dxa"/>
            <w:bottom w:w="0" w:type="dxa"/>
            <w:right w:w="108" w:type="dxa"/>
          </w:tblCellMar>
        </w:tblPrEx>
        <w:trPr>
          <w:trHeight w:val="2387"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13</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C7401900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粮食收购者收购粮食未按照国家有关规定进行质量安全检验的行为。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《粮食流通管理条例》第十一条第二款、《粮食质量安全监管办法》第十三条</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《粮食流通管理条例》第四十五条第（四）项、第五十一条、《粮食质量安全监管办法》第四十六条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法定罚款幅度为20万元。以法定罚款幅度20%为阶次划分标准，设置5个罚款裁量阶次，违法涉案粮食货值金额对应相应罚款档次。责令改正，给予警告，可以并处20万元以下罚款。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r>
      <w:tr>
        <w:tblPrEx>
          <w:tblCellMar>
            <w:top w:w="0" w:type="dxa"/>
            <w:left w:w="108" w:type="dxa"/>
            <w:bottom w:w="0" w:type="dxa"/>
            <w:right w:w="108" w:type="dxa"/>
          </w:tblCellMar>
        </w:tblPrEx>
        <w:trPr>
          <w:trHeight w:val="3723"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C7401900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违法涉案粮食货值金额20万元以上50万元以下的，或者有其他特别严重情形的。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w:t>
            </w:r>
            <w:r>
              <w:rPr>
                <w:rFonts w:hint="eastAsia" w:ascii="宋体" w:hAnsi="宋体" w:cs="宋体"/>
                <w:color w:val="auto"/>
                <w:kern w:val="0"/>
                <w:szCs w:val="21"/>
                <w:lang w:eastAsia="zh-CN"/>
              </w:rPr>
              <w:t>为</w:t>
            </w:r>
            <w:r>
              <w:rPr>
                <w:rFonts w:hint="eastAsia" w:ascii="宋体" w:hAnsi="宋体" w:cs="宋体"/>
                <w:color w:val="auto"/>
                <w:kern w:val="0"/>
                <w:szCs w:val="21"/>
              </w:rPr>
              <w:t>30万元</w:t>
            </w:r>
            <w:r>
              <w:rPr>
                <w:rFonts w:hint="eastAsia" w:ascii="宋体" w:hAnsi="宋体" w:cs="宋体"/>
                <w:color w:val="auto"/>
                <w:kern w:val="0"/>
                <w:szCs w:val="21"/>
                <w:lang w:eastAsia="zh-CN"/>
              </w:rPr>
              <w:t>。</w:t>
            </w:r>
            <w:r>
              <w:rPr>
                <w:rFonts w:hint="eastAsia" w:ascii="宋体" w:hAnsi="宋体" w:cs="宋体"/>
                <w:color w:val="auto"/>
                <w:kern w:val="0"/>
                <w:szCs w:val="21"/>
              </w:rPr>
              <w:t>以法定罚款幅度20%为阶次划分标准，设置5个罚款裁量阶次，违法涉案粮食货值金额对应相应罚款档次。责令改正，给予警告，可以并处20万元以上50万元以下罚款。对其法定代表人、主要负责人、直接负责的主管人员和其他直接责任人员处以其上一年度从本企业取得收入的1倍以上10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2216"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14</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C7401700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粮食收购者收购粮食违反规定，对不</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符合食品安全标准的粮食未作为非食用用途单独储存的行为。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《粮食流通管理条例》第十一条第二款、《粮食质量安全监管办法》第十五条第一款</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《粮食流通管理条例》第四十五条第（四）项、第五十一条、《粮食质量安全监管办法》第四十六条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法定罚款幅度为20万元。以法定罚款幅度20%为阶次划分标准，设置5个罚款裁量阶次，违法涉案粮食货值金额对应相应罚款档次。责令改正，给予警告，可以并处20万元以下罚款。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r>
      <w:tr>
        <w:tblPrEx>
          <w:tblCellMar>
            <w:top w:w="0" w:type="dxa"/>
            <w:left w:w="108" w:type="dxa"/>
            <w:bottom w:w="0" w:type="dxa"/>
            <w:right w:w="108" w:type="dxa"/>
          </w:tblCellMar>
        </w:tblPrEx>
        <w:trPr>
          <w:trHeight w:val="4366"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C7401700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违法涉案粮食货值金额20万元以上50万元以下的，或者有其他特别严重情形的。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30万元。以法定罚款幅度20%为阶次划分标准，设置5个罚款裁量阶次，违法涉案粮食货值金额对应相应罚款档次。责令改正，给予警告，可以并处20万元以上50万元以下罚款。对其法定代表人、主要负责人、直接负责的主管人员和其他直接责任人员处以其上一年度从本企业取得收入的1倍以上10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2064"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15</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C7401500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粮食收购者、粮食</w:t>
            </w:r>
          </w:p>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储存企业将不符合规定的粮食作为食用用途销售出库的行为。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《粮食流通管理条例》第十八条、《粮食质量安全监管办法》第十九条</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《粮食流通管理条例》第四十七条、《粮食质量安全监管办法》第四十六条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违法销售出库的粮食货值金额不足1万元的。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没收违法所得，并处1万元以上5万元以下罚款。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r>
      <w:tr>
        <w:tblPrEx>
          <w:tblCellMar>
            <w:top w:w="0" w:type="dxa"/>
            <w:left w:w="108" w:type="dxa"/>
            <w:bottom w:w="0" w:type="dxa"/>
            <w:right w:w="108" w:type="dxa"/>
          </w:tblCellMar>
        </w:tblPrEx>
        <w:trPr>
          <w:trHeight w:val="1978"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C7401500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违法销售出库的粮食货值金额1万元以上的。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没收违法所得，并处货值金额1倍以上3倍以下罚款。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2626"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C7401500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A030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违法销售出库的粮食货值金额1万元以上，且违法行为造成危害后果或负面社会影响的。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没收违法所得，并处货值金额3倍以上5倍以下罚款。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3357"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16</w:t>
            </w:r>
          </w:p>
        </w:tc>
        <w:tc>
          <w:tcPr>
            <w:tcW w:w="44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C7401200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粮食应急状态发生时，不服从县级以上人民政府的统一指挥和调度，或者不配合采取应急处置措施的行为。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《中华人民共和国粮食安全保障法》第五十条第三款</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《中华人民共和国粮食安全保障法》第六十九条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highlight w:val="yellow"/>
              </w:rPr>
            </w:pPr>
            <w:r>
              <w:rPr>
                <w:rFonts w:hint="eastAsia" w:ascii="宋体" w:hAnsi="宋体" w:cs="宋体"/>
                <w:color w:val="auto"/>
                <w:kern w:val="0"/>
                <w:szCs w:val="21"/>
              </w:rPr>
              <w:t>不服从县级以上人民政府的统一指挥和调度，或者不配合采取应急处置措施的。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highlight w:val="yellow"/>
              </w:rPr>
            </w:pPr>
            <w:r>
              <w:rPr>
                <w:rFonts w:hint="eastAsia" w:ascii="宋体" w:hAnsi="宋体" w:cs="宋体"/>
                <w:color w:val="auto"/>
                <w:kern w:val="0"/>
                <w:szCs w:val="21"/>
              </w:rPr>
              <w:t>责令改正，给予警告。</w:t>
            </w:r>
          </w:p>
        </w:tc>
        <w:tc>
          <w:tcPr>
            <w:tcW w:w="7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不纳入</w:t>
            </w:r>
          </w:p>
        </w:tc>
        <w:tc>
          <w:tcPr>
            <w:tcW w:w="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不公示</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w:t>
            </w:r>
          </w:p>
        </w:tc>
      </w:tr>
      <w:tr>
        <w:tblPrEx>
          <w:tblCellMar>
            <w:top w:w="0" w:type="dxa"/>
            <w:left w:w="108" w:type="dxa"/>
            <w:bottom w:w="0" w:type="dxa"/>
            <w:right w:w="108" w:type="dxa"/>
          </w:tblCellMar>
        </w:tblPrEx>
        <w:trPr>
          <w:trHeight w:val="3407"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C7401200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jc w:val="both"/>
              <w:textAlignment w:val="center"/>
              <w:rPr>
                <w:rFonts w:hint="eastAsia"/>
                <w:color w:val="auto"/>
                <w:lang w:val="en-US" w:eastAsia="zh-CN"/>
              </w:rPr>
            </w:pPr>
            <w:r>
              <w:rPr>
                <w:rFonts w:hint="eastAsia"/>
                <w:color w:val="auto"/>
                <w:lang w:val="en-US" w:eastAsia="zh-CN"/>
              </w:rPr>
              <w:t>拒不改正，造成经济损失二十万元以下的，或者</w:t>
            </w:r>
            <w:r>
              <w:rPr>
                <w:rFonts w:hint="eastAsia" w:ascii="宋体" w:hAnsi="宋体" w:cs="宋体"/>
                <w:color w:val="auto"/>
                <w:kern w:val="0"/>
                <w:szCs w:val="21"/>
              </w:rPr>
              <w:t>有其他特别严重情形的</w:t>
            </w:r>
            <w:r>
              <w:rPr>
                <w:rFonts w:hint="eastAsia"/>
                <w:color w:val="auto"/>
                <w:lang w:val="en-US" w:eastAsia="zh-CN"/>
              </w:rPr>
              <w:t>。</w:t>
            </w:r>
          </w:p>
          <w:p>
            <w:pPr>
              <w:pStyle w:val="2"/>
              <w:numPr>
                <w:ilvl w:val="0"/>
                <w:numId w:val="0"/>
              </w:numPr>
              <w:ind w:leftChars="0"/>
              <w:rPr>
                <w:rFonts w:hint="eastAsia"/>
                <w:color w:val="auto"/>
                <w:lang w:eastAsia="zh-CN"/>
              </w:rPr>
            </w:pP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color w:val="auto"/>
              </w:rPr>
            </w:pPr>
            <w:r>
              <w:rPr>
                <w:rFonts w:hint="eastAsia" w:ascii="宋体" w:hAnsi="宋体" w:cs="宋体"/>
                <w:color w:val="auto"/>
                <w:kern w:val="0"/>
                <w:szCs w:val="21"/>
                <w:lang w:eastAsia="zh-CN"/>
              </w:rPr>
              <w:t>对单位</w:t>
            </w:r>
            <w:r>
              <w:rPr>
                <w:rFonts w:hint="eastAsia" w:ascii="宋体" w:hAnsi="宋体" w:cs="宋体"/>
                <w:color w:val="auto"/>
                <w:kern w:val="0"/>
                <w:szCs w:val="21"/>
              </w:rPr>
              <w:t>法定罚款幅度为十八万元</w:t>
            </w:r>
            <w:r>
              <w:rPr>
                <w:rFonts w:hint="eastAsia" w:ascii="宋体" w:hAnsi="宋体" w:cs="宋体"/>
                <w:color w:val="auto"/>
                <w:kern w:val="0"/>
                <w:szCs w:val="21"/>
                <w:lang w:eastAsia="zh-CN"/>
              </w:rPr>
              <w:t>。</w:t>
            </w:r>
            <w:r>
              <w:rPr>
                <w:rFonts w:hint="eastAsia" w:ascii="宋体" w:hAnsi="宋体" w:cs="宋体"/>
                <w:color w:val="auto"/>
                <w:kern w:val="0"/>
                <w:szCs w:val="21"/>
              </w:rPr>
              <w:t>以法定罚款幅度20%为阶次划分标准，设置5个罚款裁量阶次，造成经济损失金额对应相应罚款档次。对单位处二万元以上二十万元以下罚款,对个人处二千元以上二万元以下罚款。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3-6个月</w:t>
            </w:r>
          </w:p>
        </w:tc>
      </w:tr>
      <w:tr>
        <w:tblPrEx>
          <w:tblCellMar>
            <w:top w:w="0" w:type="dxa"/>
            <w:left w:w="108" w:type="dxa"/>
            <w:bottom w:w="0" w:type="dxa"/>
            <w:right w:w="108" w:type="dxa"/>
          </w:tblCellMar>
        </w:tblPrEx>
        <w:trPr>
          <w:trHeight w:val="6196"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C7401200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A030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拒不改正，造成经济损失二十万元以上二百万元以下的，或者有其他情节严重情形的。</w:t>
            </w:r>
          </w:p>
        </w:tc>
        <w:tc>
          <w:tcPr>
            <w:tcW w:w="1168" w:type="pct"/>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ind w:leftChars="0"/>
              <w:jc w:val="both"/>
              <w:textAlignment w:val="center"/>
              <w:rPr>
                <w:color w:val="auto"/>
              </w:rPr>
            </w:pPr>
            <w:r>
              <w:rPr>
                <w:rFonts w:hint="eastAsia" w:ascii="宋体" w:hAnsi="宋体" w:eastAsia="宋体" w:cs="宋体"/>
                <w:color w:val="auto"/>
                <w:kern w:val="0"/>
                <w:szCs w:val="21"/>
                <w:lang w:val="en-US" w:eastAsia="zh-CN"/>
              </w:rPr>
              <w:t>1</w:t>
            </w:r>
            <w:r>
              <w:rPr>
                <w:rFonts w:hint="eastAsia" w:ascii="宋体" w:hAnsi="宋体" w:cs="宋体"/>
                <w:color w:val="auto"/>
                <w:kern w:val="0"/>
                <w:szCs w:val="21"/>
                <w:lang w:val="en-US" w:eastAsia="zh-CN"/>
              </w:rPr>
              <w:t>.造成经济损失五十万元以下，法定罚款幅度为三十万元。以法定罚款幅度20%为阶次划分标准，设置5个罚款裁量阶次，造成经济损失金额对应相应罚款档次。对单位处二十万元以上五十万元以下罚款,对个人处二万元以上十万元以下罚款。2.造成经济损失五十万元以上，对单位法定罚款幅度为一百五十万元，以五十万元为基数，每超过十万元为一个处罚档次，依次累进，造成经济损失金额对应相应罚款档次。对单位处五十万元以上二百万元以下罚款。对个人处十万元以上二十万元以下罚款。对个人法定罚款幅度为十万元。以法定罚款幅度20%为阶次划分标准，设置5个罚款裁量阶次，视情节对应相应罚款档次。</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严重</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36个月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w:t>
            </w:r>
          </w:p>
        </w:tc>
      </w:tr>
      <w:tr>
        <w:tblPrEx>
          <w:tblCellMar>
            <w:top w:w="0" w:type="dxa"/>
            <w:left w:w="108" w:type="dxa"/>
            <w:bottom w:w="0" w:type="dxa"/>
            <w:right w:w="108" w:type="dxa"/>
          </w:tblCellMar>
        </w:tblPrEx>
        <w:trPr>
          <w:trHeight w:val="2686"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Cs w:val="21"/>
              </w:rPr>
              <w:t>17</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C7400700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从事政策性粮食经营活动时虚报粮食收储数量的行为。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《粮食流通管理条例》第二十条第（一）项</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《粮食流通管理条例》第四十九条第一款第（一）项、第五十一条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150万元。以50万元为基数，违法涉案粮食货值金额每超过10万元为一个处罚档次，依次累进，违法涉案粮食货值金额对应相应罚款档次。责令改正，给予警告，没收违法所得，并处50万元以上200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3955"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C7400700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p>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违法涉案粮食货值金额200万元以上500万元以下的，或造成负面社会影响或严重危害后果的。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300万元。以200万元为基数，违法涉案粮食货值金额每超过10万元为一个处罚档次，依次累进，违法涉案粮食货值金额对应相应罚款档次。责令改正，给予警告，没收违法所得，并处200万元以上500万元以下罚款。对其法定代表人、主要负责人、直接负责的主管人员和其他直接责任人员处以其上一年度从本企业取得收入的1倍以上10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3058"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Cs w:val="21"/>
              </w:rPr>
              <w:t>18</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C7401400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从事政策性粮食经营活动时通过以陈顶新、以次充好、低收高转、虚假购销、虚假轮换、违规倒卖等方式，套取粮食价差和财政补贴，骗取信贷资金的行为。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《粮食流通管理条例》第二十条第（二）项</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《粮食流通管理条例》第四十九条第一款第（二）项、第五十一条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套取粮食价差和财政补贴，骗取信贷资金200万元以下的。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150万元。以50万元为基数，套取粮食价差和财政补贴，骗取信贷资金每超过10万元为一个处罚档次，依次累进，对应相应罚款档次。责令改正，给予警告，没收违法所得，并处50万元以上200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3679"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C7401400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套取粮食价差和财政补贴，骗取信贷资金200万元以上500万元以下的，或造成负面社会影响或严重危害后果的。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300万元。以200万元为基数，套取粮食价差和财政补贴，骗取信贷资金每超过10万元为一个处罚档次，依次累进，对应相应罚款档次。责令改正，给予警告，没收违法所得，并处200万元以上500万元以下罚款。对其法定代表人、主要负责人、直接负责的主管人员和其他直接责任人员处以其上一年度从本企业取得收入的1倍以上10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3010"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Cs w:val="21"/>
              </w:rPr>
              <w:t>19</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C7400400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从事政策性粮食经营活动时挤占、挪用、克扣财政补贴、信贷资金的行为。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《粮食流通管理条例》第二十条第（三）项</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《粮食流通管理条例》第四十九条第一款第（三）项、第五十一条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挤占、挪用、克扣财政补贴、信贷资金200万元以下的。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150万元。以50万元为基数，挤占、挪用、克扣财政补贴、信贷资金每超过10万元为一个处罚档次，依次累进，对应相应罚款档次。责令改正，给予警告，没收违法所得，并处50万元以上200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3155"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C7400400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挤占、挪用、克扣财政补贴、信贷资金200万元以上500万元以下的，或造成负面社会影响或严重危害后果的。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300万元。以200万元为基数，挤占、挪用、克扣财政补贴、信贷资金每超过10万元为一个处罚档次，依次累进，对应相应罚款档次。责令改正，给予警告，没收违法所得，并处200万元以上500万元以下罚款。对其法定代表人、主要负责人、直接负责的主管人员和其他直接责任人员处以其上一年度从本企业取得收入的1倍以上10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3119"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Cs w:val="21"/>
              </w:rPr>
              <w:t>20</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C7400800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以政策性粮食为债务作担保或者清偿债务的行为。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《粮食流通管理条例》第二十条第（四）项</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《粮食流通管理条例》第四十九条第一款第（四）项、第五十一条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150万元。以50万元为基数，违法涉案粮食货值金额每超过10万元为一个处罚档次，依次累进，违法涉案粮食货值金额对应相应罚款档次。责令改正，给予警告，没收违法所得，并处50万元以上200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90"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C7400800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p>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违法涉案粮食货值金额200万元以上500万元以下的，或造成负面社会影响或严重危害后果的。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宋体" w:hAnsi="宋体" w:cs="宋体"/>
                <w:color w:val="auto"/>
                <w:kern w:val="0"/>
                <w:szCs w:val="21"/>
              </w:rPr>
            </w:pPr>
          </w:p>
          <w:p>
            <w:pPr>
              <w:widowControl/>
              <w:textAlignment w:val="center"/>
              <w:rPr>
                <w:color w:val="auto"/>
              </w:rPr>
            </w:pPr>
            <w:r>
              <w:rPr>
                <w:rFonts w:hint="eastAsia" w:ascii="宋体" w:hAnsi="宋体" w:cs="宋体"/>
                <w:color w:val="auto"/>
                <w:kern w:val="0"/>
                <w:szCs w:val="21"/>
              </w:rPr>
              <w:t>法定罚款幅度为300万元。以200万元为基数，违法涉案粮食货值金额每超过10万元为一个处罚档次，依次累进，违法涉案粮食货值金额对应相应罚款档次。责令改正，给予警告，没收违法所得，并处200万元以上500万元以下罚款。对其法定代表人、主要负责人、直接负责的主管人员和其他直接责任人员处以其上一年度从本企业取得收入的1倍以上10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2876"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Cs w:val="21"/>
              </w:rPr>
              <w:t>21</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C7401000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利用政策性粮食进行除政府委托的政策性任务以外的其他商业经营的行为。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《粮食流通管理条例》第二十条第（五）项</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《粮食流通管理条例》第四十九条第一款第（五）项、第五十一条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150万元。以50万元为基数，违法涉案粮食货值金额每超过10万元为一个处罚档次，依次累进，违法涉案粮食货值金额对应相应罚款档次。责令改正，给予警告，没收违法所得，并处50万元以上200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3755"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C7401000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p>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违法涉案粮食货值金额200万元以上500万元以下的，或造成负面社会影响或严重危害后果的。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300万元。以200万元为基数，违法涉案粮食货值金额每超过10万元为一个处罚档次，依次累进，违法涉案粮食货值金额对应相应罚款档次。责令改正，给予警告，没收违法所得，并处200万元以上500万元以下罚款。对其法定代表人、主要负责人、直接负责的主管人员和其他直接责任人员处以其上一年度从本企业取得收入的1倍以上10倍以下罚款。</w:t>
            </w:r>
          </w:p>
          <w:p>
            <w:pPr>
              <w:pStyle w:val="2"/>
              <w:ind w:firstLine="600"/>
              <w:rPr>
                <w:color w:val="auto"/>
              </w:rPr>
            </w:pP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3041"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Cs w:val="21"/>
              </w:rPr>
              <w:t>22</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C7401300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在政策性粮食出库时掺杂使假、以次充好、调换标的物，拒不执行出库指令或者阻挠出库的行为。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《粮食流通管理条例》第二十条第（六）项</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《粮食流通管理条例》第四十九条第一款第（六）项、第五十一条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150万元。以50万元为基数，违法涉案粮食货值金额每超过10万元为一个处罚档次，依次累进，违法涉案粮食货值金额对应相应罚款档次。责令改正，给予警告，没收违法所得，并处50万元以上200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2120"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C7401300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p>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违法涉案粮食货值金额200万元以上500万元以下的，或造成负面社会影响或严重危害后果的。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auto"/>
              </w:rPr>
            </w:pPr>
            <w:r>
              <w:rPr>
                <w:rFonts w:hint="eastAsia" w:ascii="宋体" w:hAnsi="宋体" w:cs="宋体"/>
                <w:color w:val="auto"/>
                <w:kern w:val="0"/>
                <w:szCs w:val="21"/>
              </w:rPr>
              <w:t>法定罚款幅度为300万元。以200万元为基数，违法涉案粮食货值金额每超过10万元为一个处罚档次，依次累进，违法涉案粮食货值金额对应相应罚款档次。责令改正，给予警告，没收违法所得，并处200万元以上500万元以下罚款。对其法定代表人、主要负责人、直接负责的主管人员和其他直接责任人员处以其上一年度从本企业取得收入的1倍以上10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3182"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23</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C7400300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购买国家限定用途的政策性粮食，违规倒卖或者不按照规定用途处置的行为。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《粮食流通管理条例》第二十条第（七）项</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《粮食流通管理条例》第四十九条第一款第（七）项、第五十一条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150万元。以50万元为基数，违法涉案粮食货值金额每超过10万元为一个处罚档次，依次累进，违法涉案粮食货值金额对应相应罚款档次。责令改正，给予警告，没收违法所得，并处50万元以上200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2135"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C7400300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p>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违法涉案粮食货值金额200万元以上500万元以下的，或造成负面社会影响或严重危害后果的。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auto"/>
              </w:rPr>
            </w:pPr>
            <w:r>
              <w:rPr>
                <w:rFonts w:hint="eastAsia" w:ascii="宋体" w:hAnsi="宋体" w:cs="宋体"/>
                <w:color w:val="auto"/>
                <w:kern w:val="0"/>
                <w:szCs w:val="21"/>
              </w:rPr>
              <w:t>法定罚款幅度为300万元。以200万元为基数，违法涉案粮食货值金额每超过10万元为一个处罚档次，依次累进，违法涉案粮食货值金额对应相应罚款档次。责令改正，给予警告，没收违法所得，并处200万元以上500万元以下罚款。对其法定代表人、主要负责人、直接负责的主管人员和其他直接责任人员处以其上一年度从本企业取得收入的1倍以上10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3182"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Cs w:val="21"/>
              </w:rPr>
              <w:t>24</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C7400600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擅自动用政策性粮食的行为。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《粮食流通管理条例》第二十条第（八）项</w:t>
            </w:r>
          </w:p>
          <w:p>
            <w:pPr>
              <w:widowControl/>
              <w:textAlignment w:val="center"/>
              <w:rPr>
                <w:rFonts w:ascii="宋体" w:hAnsi="宋体" w:cs="宋体"/>
                <w:color w:val="000000"/>
                <w:kern w:val="0"/>
                <w:szCs w:val="21"/>
              </w:rPr>
            </w:pP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《粮食流通管理条例》第四十九条第一款第（八）项、第五十一条</w:t>
            </w:r>
          </w:p>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150万元。以50万元为基数，违法涉案粮食货值金额每超过10万元为一个处罚档次，依次累进，违法涉案粮食货值金额对应相应罚款档次。责令改正，给予警告，没收违法所得，并处50万元以上200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2165"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C7400600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p>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违法涉案粮食货值金额200万元以上500万元以下的，或造成负面社会影响或严重危害后果的。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color w:val="auto"/>
              </w:rPr>
            </w:pPr>
            <w:r>
              <w:rPr>
                <w:rFonts w:hint="eastAsia" w:ascii="宋体" w:hAnsi="宋体" w:cs="宋体"/>
                <w:color w:val="auto"/>
                <w:kern w:val="0"/>
                <w:szCs w:val="21"/>
              </w:rPr>
              <w:t>法定罚款幅度为300万元。以200万元为基数，违法涉案粮食货值金额每超过10万元为一个处罚档次，依次累进，违法涉案粮食货值金额对应相应罚款档次。责令改正，给予警告，没收违法所得，并处200万元以上500万元以下罚款。对其法定代表人、主要负责人、直接负责的主管人员和其他直接责任人员处以其上一年度从本企业取得收入的1倍以上10倍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2309" w:hRule="atLeast"/>
        </w:trPr>
        <w:tc>
          <w:tcPr>
            <w:tcW w:w="152"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25</w:t>
            </w: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C7401100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A010</w:t>
            </w:r>
          </w:p>
        </w:tc>
        <w:tc>
          <w:tcPr>
            <w:tcW w:w="413"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其他违反国家政策性粮食经营管理规定的行为。</w:t>
            </w:r>
          </w:p>
        </w:tc>
        <w:tc>
          <w:tcPr>
            <w:tcW w:w="375"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《粮食流通管理条例》第二十条第（九）项</w:t>
            </w:r>
          </w:p>
        </w:tc>
        <w:tc>
          <w:tcPr>
            <w:tcW w:w="391" w:type="pct"/>
            <w:vMerge w:val="restart"/>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《粮食流通管理条例》第四十九条第一款第（九）项、第五十一条</w:t>
            </w: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违法涉案粮食货值金额200万元以下的。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150万元。以50万元为基数，违法涉案粮食货值金额每超过10万元为一个处罚档次，依次累进，违法涉案粮食货值金额对应相应罚款档次。责令改正，给予警告，没收违法所得，并处50万元以上200万元以下罚款。</w:t>
            </w: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2180" w:hRule="atLeast"/>
        </w:trPr>
        <w:tc>
          <w:tcPr>
            <w:tcW w:w="152"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C7401100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A020</w:t>
            </w:r>
          </w:p>
        </w:tc>
        <w:tc>
          <w:tcPr>
            <w:tcW w:w="413"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375"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391"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color w:val="000000"/>
                <w:kern w:val="0"/>
                <w:szCs w:val="21"/>
              </w:rPr>
            </w:pPr>
          </w:p>
        </w:tc>
        <w:tc>
          <w:tcPr>
            <w:tcW w:w="107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p>
          <w:p>
            <w:pPr>
              <w:widowControl/>
              <w:textAlignment w:val="center"/>
              <w:rPr>
                <w:rFonts w:ascii="宋体" w:hAnsi="宋体" w:cs="宋体"/>
                <w:color w:val="auto"/>
                <w:kern w:val="0"/>
                <w:szCs w:val="21"/>
              </w:rPr>
            </w:pPr>
            <w:r>
              <w:rPr>
                <w:rFonts w:hint="eastAsia" w:ascii="宋体" w:hAnsi="宋体" w:cs="宋体"/>
                <w:color w:val="auto"/>
                <w:kern w:val="0"/>
                <w:szCs w:val="21"/>
              </w:rPr>
              <w:t>违法涉案粮食货值金额200万元以上500万元以下的，或造成负面社会影响或严重危害后果的。</w:t>
            </w:r>
          </w:p>
        </w:tc>
        <w:tc>
          <w:tcPr>
            <w:tcW w:w="116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法定罚款幅度为300万元。以200万元为基数，违法涉案粮食货值金额每超过10万元为一个处罚档次，依次累进，违法涉案粮食货值金额对应相应罚款档次。责令改正，给予警告，没收违法所得，并处200万元以上500万元以下罚款。对其法定代表人、主要负责人、直接负责的主管人员和其他直接责任人员处以其上一年度从本企业取得收入的1倍以上10倍以下罚款。</w:t>
            </w:r>
          </w:p>
          <w:p>
            <w:pPr>
              <w:pStyle w:val="2"/>
              <w:ind w:firstLine="600"/>
              <w:rPr>
                <w:color w:val="auto"/>
              </w:rPr>
            </w:pPr>
          </w:p>
        </w:tc>
        <w:tc>
          <w:tcPr>
            <w:tcW w:w="26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bl>
    <w:p>
      <w:pPr>
        <w:jc w:val="center"/>
        <w:rPr>
          <w:rFonts w:hint="eastAsia" w:ascii="宋体" w:hAnsi="宋体"/>
          <w:sz w:val="32"/>
          <w:szCs w:val="32"/>
        </w:rPr>
      </w:pPr>
    </w:p>
    <w:p>
      <w:pPr>
        <w:pStyle w:val="2"/>
        <w:ind w:firstLine="600"/>
        <w:rPr>
          <w:rFonts w:hint="eastAsia"/>
        </w:rPr>
      </w:pPr>
    </w:p>
    <w:p>
      <w:pPr>
        <w:pStyle w:val="4"/>
        <w:rPr>
          <w:rFonts w:hint="eastAsia"/>
        </w:rPr>
      </w:pPr>
    </w:p>
    <w:p>
      <w:pPr>
        <w:pStyle w:val="5"/>
        <w:rPr>
          <w:rFonts w:hint="eastAsia"/>
        </w:rPr>
      </w:pPr>
    </w:p>
    <w:p>
      <w:pPr>
        <w:jc w:val="center"/>
        <w:rPr>
          <w:rFonts w:ascii="宋体" w:hAnsi="宋体"/>
          <w:color w:val="000000"/>
          <w:sz w:val="32"/>
          <w:szCs w:val="32"/>
        </w:rPr>
      </w:pPr>
      <w:r>
        <w:rPr>
          <w:rFonts w:hint="eastAsia" w:ascii="宋体" w:hAnsi="宋体"/>
          <w:sz w:val="32"/>
          <w:szCs w:val="32"/>
        </w:rPr>
        <w:t>《北京市储备粮管理办法》</w:t>
      </w:r>
    </w:p>
    <w:tbl>
      <w:tblPr>
        <w:tblStyle w:val="9"/>
        <w:tblW w:w="5266" w:type="pct"/>
        <w:tblInd w:w="-408" w:type="dxa"/>
        <w:tblLayout w:type="fixed"/>
        <w:tblCellMar>
          <w:top w:w="0" w:type="dxa"/>
          <w:left w:w="108" w:type="dxa"/>
          <w:bottom w:w="0" w:type="dxa"/>
          <w:right w:w="108" w:type="dxa"/>
        </w:tblCellMar>
      </w:tblPr>
      <w:tblGrid>
        <w:gridCol w:w="479"/>
        <w:gridCol w:w="1338"/>
        <w:gridCol w:w="1906"/>
        <w:gridCol w:w="1330"/>
        <w:gridCol w:w="1346"/>
        <w:gridCol w:w="2580"/>
        <w:gridCol w:w="2703"/>
        <w:gridCol w:w="1017"/>
        <w:gridCol w:w="987"/>
        <w:gridCol w:w="1242"/>
      </w:tblGrid>
      <w:tr>
        <w:tblPrEx>
          <w:tblCellMar>
            <w:top w:w="0" w:type="dxa"/>
            <w:left w:w="108" w:type="dxa"/>
            <w:bottom w:w="0" w:type="dxa"/>
            <w:right w:w="108" w:type="dxa"/>
          </w:tblCellMar>
        </w:tblPrEx>
        <w:trPr>
          <w:trHeight w:val="375" w:hRule="atLeast"/>
          <w:tblHeader/>
        </w:trPr>
        <w:tc>
          <w:tcPr>
            <w:tcW w:w="160"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序</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号</w:t>
            </w:r>
          </w:p>
        </w:tc>
        <w:tc>
          <w:tcPr>
            <w:tcW w:w="448"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裁量权</w:t>
            </w:r>
          </w:p>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基准编码</w:t>
            </w:r>
          </w:p>
        </w:tc>
        <w:tc>
          <w:tcPr>
            <w:tcW w:w="637"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违法行为名称</w:t>
            </w:r>
          </w:p>
        </w:tc>
        <w:tc>
          <w:tcPr>
            <w:tcW w:w="895" w:type="pct"/>
            <w:gridSpan w:val="2"/>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法律依据</w:t>
            </w:r>
          </w:p>
        </w:tc>
        <w:tc>
          <w:tcPr>
            <w:tcW w:w="863"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具体违法情节</w:t>
            </w:r>
          </w:p>
        </w:tc>
        <w:tc>
          <w:tcPr>
            <w:tcW w:w="904"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处罚裁量权基准</w:t>
            </w:r>
          </w:p>
        </w:tc>
        <w:tc>
          <w:tcPr>
            <w:tcW w:w="341"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行为</w:t>
            </w:r>
          </w:p>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分类</w:t>
            </w:r>
          </w:p>
        </w:tc>
        <w:tc>
          <w:tcPr>
            <w:tcW w:w="331"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处罚</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公示</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期限</w:t>
            </w:r>
          </w:p>
        </w:tc>
        <w:tc>
          <w:tcPr>
            <w:tcW w:w="416"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可以申请缩短</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公示期</w:t>
            </w:r>
          </w:p>
        </w:tc>
      </w:tr>
      <w:tr>
        <w:tblPrEx>
          <w:tblCellMar>
            <w:top w:w="0" w:type="dxa"/>
            <w:left w:w="108" w:type="dxa"/>
            <w:bottom w:w="0" w:type="dxa"/>
            <w:right w:w="108" w:type="dxa"/>
          </w:tblCellMar>
        </w:tblPrEx>
        <w:trPr>
          <w:trHeight w:val="750" w:hRule="atLeast"/>
          <w:tblHeader/>
        </w:trPr>
        <w:tc>
          <w:tcPr>
            <w:tcW w:w="160" w:type="pct"/>
            <w:vMerge w:val="continue"/>
            <w:tcBorders>
              <w:top w:val="single" w:color="000000"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p>
        </w:tc>
        <w:tc>
          <w:tcPr>
            <w:tcW w:w="448" w:type="pct"/>
            <w:vMerge w:val="continue"/>
            <w:tcBorders>
              <w:top w:val="single" w:color="000000"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p>
        </w:tc>
        <w:tc>
          <w:tcPr>
            <w:tcW w:w="637" w:type="pct"/>
            <w:vMerge w:val="continue"/>
            <w:tcBorders>
              <w:top w:val="single" w:color="000000" w:sz="4" w:space="0"/>
              <w:left w:val="single" w:color="000000" w:sz="4" w:space="0"/>
              <w:bottom w:val="single" w:color="auto"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p>
        </w:tc>
        <w:tc>
          <w:tcPr>
            <w:tcW w:w="445" w:type="pct"/>
            <w:tcBorders>
              <w:top w:val="single" w:color="000000"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违法行为</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依据</w:t>
            </w:r>
          </w:p>
        </w:tc>
        <w:tc>
          <w:tcPr>
            <w:tcW w:w="449" w:type="pct"/>
            <w:tcBorders>
              <w:top w:val="single" w:color="000000" w:sz="4" w:space="0"/>
              <w:left w:val="single" w:color="000000" w:sz="4" w:space="0"/>
              <w:bottom w:val="single" w:color="auto"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处罚依据</w:t>
            </w:r>
          </w:p>
        </w:tc>
        <w:tc>
          <w:tcPr>
            <w:tcW w:w="863" w:type="pct"/>
            <w:vMerge w:val="continue"/>
            <w:tcBorders>
              <w:top w:val="single" w:color="000000" w:sz="4" w:space="0"/>
              <w:left w:val="single" w:color="000000" w:sz="4" w:space="0"/>
              <w:bottom w:val="single" w:color="auto"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p>
        </w:tc>
        <w:tc>
          <w:tcPr>
            <w:tcW w:w="904" w:type="pct"/>
            <w:vMerge w:val="continue"/>
            <w:tcBorders>
              <w:top w:val="single" w:color="000000" w:sz="4" w:space="0"/>
              <w:left w:val="single" w:color="000000" w:sz="4" w:space="0"/>
              <w:bottom w:val="single" w:color="auto"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p>
        </w:tc>
        <w:tc>
          <w:tcPr>
            <w:tcW w:w="341" w:type="pct"/>
            <w:vMerge w:val="continue"/>
            <w:tcBorders>
              <w:top w:val="single" w:color="000000"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p>
        </w:tc>
        <w:tc>
          <w:tcPr>
            <w:tcW w:w="331" w:type="pct"/>
            <w:vMerge w:val="continue"/>
            <w:tcBorders>
              <w:top w:val="single" w:color="000000"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p>
        </w:tc>
        <w:tc>
          <w:tcPr>
            <w:tcW w:w="416" w:type="pct"/>
            <w:vMerge w:val="continue"/>
            <w:tcBorders>
              <w:top w:val="single" w:color="000000"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p>
        </w:tc>
      </w:tr>
      <w:tr>
        <w:tblPrEx>
          <w:tblCellMar>
            <w:top w:w="0" w:type="dxa"/>
            <w:left w:w="108" w:type="dxa"/>
            <w:bottom w:w="0" w:type="dxa"/>
            <w:right w:w="108" w:type="dxa"/>
          </w:tblCellMar>
        </w:tblPrEx>
        <w:trPr>
          <w:trHeight w:val="1775" w:hRule="atLeast"/>
        </w:trPr>
        <w:tc>
          <w:tcPr>
            <w:tcW w:w="160"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26</w:t>
            </w:r>
          </w:p>
        </w:tc>
        <w:tc>
          <w:tcPr>
            <w:tcW w:w="44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C2601600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A000</w:t>
            </w:r>
          </w:p>
        </w:tc>
        <w:tc>
          <w:tcPr>
            <w:tcW w:w="637"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承储企业不执行市粮食和储备部门的出入库要求的行为。</w:t>
            </w:r>
          </w:p>
        </w:tc>
        <w:tc>
          <w:tcPr>
            <w:tcW w:w="445"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《北京市储备粮管理办法》第八条第一款第（四）项</w:t>
            </w:r>
          </w:p>
        </w:tc>
        <w:tc>
          <w:tcPr>
            <w:tcW w:w="449"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《北京市储备粮管理办法》第二十条</w:t>
            </w:r>
          </w:p>
        </w:tc>
        <w:tc>
          <w:tcPr>
            <w:tcW w:w="863"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承储企业不执行市粮食和储备部门的出入库要求的。</w:t>
            </w:r>
          </w:p>
        </w:tc>
        <w:tc>
          <w:tcPr>
            <w:tcW w:w="904"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处3万元以下罚款。</w:t>
            </w:r>
          </w:p>
        </w:tc>
        <w:tc>
          <w:tcPr>
            <w:tcW w:w="34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31"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416"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r>
        <w:tblPrEx>
          <w:tblCellMar>
            <w:top w:w="0" w:type="dxa"/>
            <w:left w:w="108" w:type="dxa"/>
            <w:bottom w:w="0" w:type="dxa"/>
            <w:right w:w="108" w:type="dxa"/>
          </w:tblCellMar>
        </w:tblPrEx>
        <w:trPr>
          <w:trHeight w:val="2085" w:hRule="atLeast"/>
        </w:trPr>
        <w:tc>
          <w:tcPr>
            <w:tcW w:w="160" w:type="pct"/>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27</w:t>
            </w:r>
          </w:p>
        </w:tc>
        <w:tc>
          <w:tcPr>
            <w:tcW w:w="448"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C2601800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A000</w:t>
            </w:r>
          </w:p>
        </w:tc>
        <w:tc>
          <w:tcPr>
            <w:tcW w:w="637" w:type="pct"/>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承储企业拒绝、阻挠或者干涉监督检查人员依法履行监督检查职责的行为。</w:t>
            </w:r>
          </w:p>
        </w:tc>
        <w:tc>
          <w:tcPr>
            <w:tcW w:w="445"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《北京市储备粮管理办法》第十九条</w:t>
            </w:r>
          </w:p>
        </w:tc>
        <w:tc>
          <w:tcPr>
            <w:tcW w:w="449"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《北京市储备粮管理办法》第二十一条</w:t>
            </w:r>
          </w:p>
        </w:tc>
        <w:tc>
          <w:tcPr>
            <w:tcW w:w="863" w:type="pct"/>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承储企业拒绝、阻挠或者干涉监督检查人员依法履行监督检查职责的。</w:t>
            </w:r>
          </w:p>
        </w:tc>
        <w:tc>
          <w:tcPr>
            <w:tcW w:w="904"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处3万元以下罚款。</w:t>
            </w:r>
          </w:p>
        </w:tc>
        <w:tc>
          <w:tcPr>
            <w:tcW w:w="341"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31"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24个月</w:t>
            </w:r>
          </w:p>
        </w:tc>
        <w:tc>
          <w:tcPr>
            <w:tcW w:w="416" w:type="pct"/>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3-12个月</w:t>
            </w:r>
          </w:p>
        </w:tc>
      </w:tr>
    </w:tbl>
    <w:p/>
    <w:p>
      <w:r>
        <w:br w:type="page"/>
      </w:r>
    </w:p>
    <w:p>
      <w:pPr>
        <w:jc w:val="center"/>
        <w:rPr>
          <w:rFonts w:ascii="宋体" w:hAnsi="宋体" w:cs="宋体"/>
          <w:sz w:val="32"/>
          <w:szCs w:val="32"/>
        </w:rPr>
      </w:pPr>
      <w:r>
        <w:rPr>
          <w:rFonts w:hint="eastAsia" w:ascii="宋体" w:hAnsi="宋体" w:cs="宋体"/>
          <w:sz w:val="32"/>
          <w:szCs w:val="32"/>
        </w:rPr>
        <w:t>《粮油仓储管理办法》</w:t>
      </w:r>
    </w:p>
    <w:tbl>
      <w:tblPr>
        <w:tblStyle w:val="9"/>
        <w:tblW w:w="5330" w:type="pct"/>
        <w:tblInd w:w="-479" w:type="dxa"/>
        <w:tblLayout w:type="fixed"/>
        <w:tblCellMar>
          <w:top w:w="0" w:type="dxa"/>
          <w:left w:w="108" w:type="dxa"/>
          <w:bottom w:w="0" w:type="dxa"/>
          <w:right w:w="108" w:type="dxa"/>
        </w:tblCellMar>
      </w:tblPr>
      <w:tblGrid>
        <w:gridCol w:w="458"/>
        <w:gridCol w:w="1430"/>
        <w:gridCol w:w="1904"/>
        <w:gridCol w:w="1330"/>
        <w:gridCol w:w="1341"/>
        <w:gridCol w:w="2725"/>
        <w:gridCol w:w="2573"/>
        <w:gridCol w:w="1032"/>
        <w:gridCol w:w="1032"/>
        <w:gridCol w:w="1285"/>
      </w:tblGrid>
      <w:tr>
        <w:tblPrEx>
          <w:tblCellMar>
            <w:top w:w="0" w:type="dxa"/>
            <w:left w:w="108" w:type="dxa"/>
            <w:bottom w:w="0" w:type="dxa"/>
            <w:right w:w="108" w:type="dxa"/>
          </w:tblCellMar>
        </w:tblPrEx>
        <w:trPr>
          <w:trHeight w:val="375" w:hRule="atLeast"/>
          <w:tblHeader/>
        </w:trPr>
        <w:tc>
          <w:tcPr>
            <w:tcW w:w="151"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序</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号</w:t>
            </w:r>
          </w:p>
        </w:tc>
        <w:tc>
          <w:tcPr>
            <w:tcW w:w="473"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裁量权</w:t>
            </w:r>
          </w:p>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基准编码</w:t>
            </w:r>
          </w:p>
        </w:tc>
        <w:tc>
          <w:tcPr>
            <w:tcW w:w="629" w:type="pct"/>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违法行为名称</w:t>
            </w:r>
          </w:p>
        </w:tc>
        <w:tc>
          <w:tcPr>
            <w:tcW w:w="884" w:type="pct"/>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法律依据</w:t>
            </w:r>
          </w:p>
        </w:tc>
        <w:tc>
          <w:tcPr>
            <w:tcW w:w="900" w:type="pct"/>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具体违法情节</w:t>
            </w:r>
          </w:p>
        </w:tc>
        <w:tc>
          <w:tcPr>
            <w:tcW w:w="851" w:type="pct"/>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处罚裁量权基准</w:t>
            </w:r>
          </w:p>
        </w:tc>
        <w:tc>
          <w:tcPr>
            <w:tcW w:w="341"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行为</w:t>
            </w:r>
          </w:p>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分类</w:t>
            </w:r>
          </w:p>
        </w:tc>
        <w:tc>
          <w:tcPr>
            <w:tcW w:w="341"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处罚</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公示</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期限</w:t>
            </w:r>
          </w:p>
        </w:tc>
        <w:tc>
          <w:tcPr>
            <w:tcW w:w="425"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可以申请缩短</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公示期</w:t>
            </w:r>
          </w:p>
        </w:tc>
      </w:tr>
      <w:tr>
        <w:tblPrEx>
          <w:tblCellMar>
            <w:top w:w="0" w:type="dxa"/>
            <w:left w:w="108" w:type="dxa"/>
            <w:bottom w:w="0" w:type="dxa"/>
            <w:right w:w="108" w:type="dxa"/>
          </w:tblCellMar>
        </w:tblPrEx>
        <w:trPr>
          <w:trHeight w:val="757" w:hRule="atLeast"/>
          <w:tblHeader/>
        </w:trPr>
        <w:tc>
          <w:tcPr>
            <w:tcW w:w="151" w:type="pct"/>
            <w:vMerge w:val="continue"/>
            <w:tcBorders>
              <w:top w:val="single" w:color="auto" w:sz="4" w:space="0"/>
              <w:left w:val="single" w:color="auto" w:sz="4" w:space="0"/>
              <w:bottom w:val="single" w:color="000000" w:sz="4" w:space="0"/>
              <w:right w:val="single" w:color="000000" w:sz="4" w:space="0"/>
            </w:tcBorders>
            <w:vAlign w:val="center"/>
          </w:tcPr>
          <w:p>
            <w:pPr>
              <w:jc w:val="center"/>
              <w:rPr>
                <w:rFonts w:ascii="CESI仿宋-GB2312" w:hAnsi="CESI仿宋-GB2312" w:eastAsia="CESI仿宋-GB2312" w:cs="CESI仿宋-GB2312"/>
                <w:b/>
                <w:color w:val="000000"/>
                <w:sz w:val="18"/>
                <w:szCs w:val="18"/>
              </w:rPr>
            </w:pPr>
          </w:p>
        </w:tc>
        <w:tc>
          <w:tcPr>
            <w:tcW w:w="473" w:type="pct"/>
            <w:vMerge w:val="continue"/>
            <w:tcBorders>
              <w:top w:val="single" w:color="auto" w:sz="4" w:space="0"/>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b/>
                <w:color w:val="000000"/>
                <w:sz w:val="18"/>
                <w:szCs w:val="18"/>
              </w:rPr>
            </w:pPr>
          </w:p>
        </w:tc>
        <w:tc>
          <w:tcPr>
            <w:tcW w:w="629" w:type="pct"/>
            <w:vMerge w:val="continue"/>
            <w:tcBorders>
              <w:top w:val="single" w:color="auto" w:sz="4" w:space="0"/>
              <w:left w:val="single" w:color="000000" w:sz="4" w:space="0"/>
              <w:bottom w:val="single" w:color="000000" w:sz="4" w:space="0"/>
              <w:right w:val="single" w:color="000000" w:sz="4" w:space="0"/>
            </w:tcBorders>
            <w:noWrap/>
            <w:vAlign w:val="center"/>
          </w:tcPr>
          <w:p>
            <w:pPr>
              <w:jc w:val="center"/>
              <w:rPr>
                <w:rFonts w:ascii="CESI仿宋-GB2312" w:hAnsi="CESI仿宋-GB2312" w:eastAsia="CESI仿宋-GB2312" w:cs="CESI仿宋-GB2312"/>
                <w:b/>
                <w:color w:val="000000"/>
                <w:sz w:val="18"/>
                <w:szCs w:val="18"/>
              </w:rPr>
            </w:pPr>
          </w:p>
        </w:tc>
        <w:tc>
          <w:tcPr>
            <w:tcW w:w="440" w:type="pc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违法行为</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依据</w:t>
            </w:r>
          </w:p>
        </w:tc>
        <w:tc>
          <w:tcPr>
            <w:tcW w:w="444" w:type="pct"/>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处罚依据</w:t>
            </w:r>
          </w:p>
        </w:tc>
        <w:tc>
          <w:tcPr>
            <w:tcW w:w="900" w:type="pct"/>
            <w:vMerge w:val="continue"/>
            <w:tcBorders>
              <w:top w:val="single" w:color="auto" w:sz="4" w:space="0"/>
              <w:left w:val="single" w:color="000000" w:sz="4" w:space="0"/>
              <w:bottom w:val="single" w:color="000000" w:sz="4" w:space="0"/>
              <w:right w:val="single" w:color="000000" w:sz="4" w:space="0"/>
            </w:tcBorders>
            <w:noWrap/>
            <w:vAlign w:val="center"/>
          </w:tcPr>
          <w:p>
            <w:pPr>
              <w:jc w:val="center"/>
              <w:rPr>
                <w:rFonts w:ascii="CESI仿宋-GB2312" w:hAnsi="CESI仿宋-GB2312" w:eastAsia="CESI仿宋-GB2312" w:cs="CESI仿宋-GB2312"/>
                <w:b/>
                <w:color w:val="000000"/>
                <w:sz w:val="18"/>
                <w:szCs w:val="18"/>
              </w:rPr>
            </w:pPr>
          </w:p>
        </w:tc>
        <w:tc>
          <w:tcPr>
            <w:tcW w:w="851" w:type="pct"/>
            <w:vMerge w:val="continue"/>
            <w:tcBorders>
              <w:top w:val="single" w:color="auto" w:sz="4" w:space="0"/>
              <w:left w:val="single" w:color="000000" w:sz="4" w:space="0"/>
              <w:bottom w:val="single" w:color="000000" w:sz="4" w:space="0"/>
              <w:right w:val="single" w:color="000000" w:sz="4" w:space="0"/>
            </w:tcBorders>
            <w:noWrap/>
            <w:vAlign w:val="center"/>
          </w:tcPr>
          <w:p>
            <w:pPr>
              <w:jc w:val="center"/>
              <w:rPr>
                <w:rFonts w:ascii="CESI仿宋-GB2312" w:hAnsi="CESI仿宋-GB2312" w:eastAsia="CESI仿宋-GB2312" w:cs="CESI仿宋-GB2312"/>
                <w:b/>
                <w:color w:val="000000"/>
                <w:sz w:val="18"/>
                <w:szCs w:val="18"/>
              </w:rPr>
            </w:pPr>
          </w:p>
        </w:tc>
        <w:tc>
          <w:tcPr>
            <w:tcW w:w="341" w:type="pct"/>
            <w:vMerge w:val="continue"/>
            <w:tcBorders>
              <w:top w:val="single" w:color="auto" w:sz="4" w:space="0"/>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b/>
                <w:color w:val="000000"/>
                <w:sz w:val="18"/>
                <w:szCs w:val="18"/>
              </w:rPr>
            </w:pPr>
          </w:p>
        </w:tc>
        <w:tc>
          <w:tcPr>
            <w:tcW w:w="341" w:type="pct"/>
            <w:vMerge w:val="continue"/>
            <w:tcBorders>
              <w:top w:val="single" w:color="auto" w:sz="4" w:space="0"/>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b/>
                <w:color w:val="000000"/>
                <w:sz w:val="18"/>
                <w:szCs w:val="18"/>
              </w:rPr>
            </w:pPr>
          </w:p>
        </w:tc>
        <w:tc>
          <w:tcPr>
            <w:tcW w:w="425" w:type="pct"/>
            <w:vMerge w:val="continue"/>
            <w:tcBorders>
              <w:top w:val="single" w:color="auto" w:sz="4" w:space="0"/>
              <w:left w:val="single" w:color="000000" w:sz="4" w:space="0"/>
              <w:bottom w:val="single" w:color="000000" w:sz="4" w:space="0"/>
              <w:right w:val="single" w:color="auto" w:sz="4" w:space="0"/>
            </w:tcBorders>
            <w:vAlign w:val="center"/>
          </w:tcPr>
          <w:p>
            <w:pPr>
              <w:jc w:val="center"/>
              <w:rPr>
                <w:rFonts w:ascii="CESI仿宋-GB2312" w:hAnsi="CESI仿宋-GB2312" w:eastAsia="CESI仿宋-GB2312" w:cs="CESI仿宋-GB2312"/>
                <w:b/>
                <w:color w:val="000000"/>
                <w:sz w:val="18"/>
                <w:szCs w:val="18"/>
              </w:rPr>
            </w:pPr>
          </w:p>
        </w:tc>
      </w:tr>
      <w:tr>
        <w:tblPrEx>
          <w:tblCellMar>
            <w:top w:w="0" w:type="dxa"/>
            <w:left w:w="108" w:type="dxa"/>
            <w:bottom w:w="0" w:type="dxa"/>
            <w:right w:w="108" w:type="dxa"/>
          </w:tblCellMar>
        </w:tblPrEx>
        <w:trPr>
          <w:trHeight w:val="1683" w:hRule="atLeast"/>
        </w:trPr>
        <w:tc>
          <w:tcPr>
            <w:tcW w:w="15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28</w:t>
            </w: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C2601900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C010</w:t>
            </w:r>
          </w:p>
        </w:tc>
        <w:tc>
          <w:tcPr>
            <w:tcW w:w="629" w:type="pct"/>
            <w:vMerge w:val="restart"/>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粮油仓储单位未在规定时间向粮食行政管理部门备案的行为。</w:t>
            </w:r>
          </w:p>
        </w:tc>
        <w:tc>
          <w:tcPr>
            <w:tcW w:w="440" w:type="pct"/>
            <w:vMerge w:val="restart"/>
            <w:tcBorders>
              <w:top w:val="nil"/>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《粮油仓储管理办法》第六条</w:t>
            </w:r>
          </w:p>
        </w:tc>
        <w:tc>
          <w:tcPr>
            <w:tcW w:w="444" w:type="pct"/>
            <w:vMerge w:val="restart"/>
            <w:tcBorders>
              <w:top w:val="nil"/>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《粮油仓储管理办法》第二十八条</w:t>
            </w:r>
          </w:p>
        </w:tc>
        <w:tc>
          <w:tcPr>
            <w:tcW w:w="900" w:type="pct"/>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粮油仓储单位未在规定时间向粮食行政管理部门备案的。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责令改正，给予警告。</w:t>
            </w:r>
          </w:p>
        </w:tc>
        <w:tc>
          <w:tcPr>
            <w:tcW w:w="3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不纳入</w:t>
            </w:r>
          </w:p>
        </w:tc>
        <w:tc>
          <w:tcPr>
            <w:tcW w:w="3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不公示</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1245"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C2601900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C020</w:t>
            </w:r>
          </w:p>
        </w:tc>
        <w:tc>
          <w:tcPr>
            <w:tcW w:w="629" w:type="pct"/>
            <w:vMerge w:val="continue"/>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440" w:type="pct"/>
            <w:vMerge w:val="continue"/>
            <w:tcBorders>
              <w:top w:val="nil"/>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444" w:type="pct"/>
            <w:vMerge w:val="continue"/>
            <w:tcBorders>
              <w:top w:val="nil"/>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900" w:type="pct"/>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拒不改正的。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处1万元以下罚款。</w:t>
            </w:r>
          </w:p>
        </w:tc>
        <w:tc>
          <w:tcPr>
            <w:tcW w:w="3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一般  </w:t>
            </w:r>
          </w:p>
        </w:tc>
        <w:tc>
          <w:tcPr>
            <w:tcW w:w="3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1490" w:hRule="atLeast"/>
        </w:trPr>
        <w:tc>
          <w:tcPr>
            <w:tcW w:w="15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29</w:t>
            </w: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C2602000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C010</w:t>
            </w:r>
          </w:p>
        </w:tc>
        <w:tc>
          <w:tcPr>
            <w:tcW w:w="62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粮油仓储单位备案内容弄虚作假的行为。</w:t>
            </w:r>
          </w:p>
        </w:tc>
        <w:tc>
          <w:tcPr>
            <w:tcW w:w="440" w:type="pct"/>
            <w:vMerge w:val="restart"/>
            <w:tcBorders>
              <w:top w:val="nil"/>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《粮油仓储管理办法》第六条</w:t>
            </w:r>
          </w:p>
        </w:tc>
        <w:tc>
          <w:tcPr>
            <w:tcW w:w="444" w:type="pct"/>
            <w:vMerge w:val="restart"/>
            <w:tcBorders>
              <w:top w:val="nil"/>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《粮油仓储管理办法》第二十八条</w:t>
            </w: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粮油仓储单位备案内容弄虚作假的。</w:t>
            </w:r>
          </w:p>
        </w:tc>
        <w:tc>
          <w:tcPr>
            <w:tcW w:w="851" w:type="pct"/>
            <w:tcBorders>
              <w:top w:val="nil"/>
              <w:left w:val="nil"/>
              <w:bottom w:val="nil"/>
              <w:right w:val="nil"/>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责令改正，给予警告。</w:t>
            </w:r>
          </w:p>
        </w:tc>
        <w:tc>
          <w:tcPr>
            <w:tcW w:w="341"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不纳入</w:t>
            </w:r>
          </w:p>
        </w:tc>
        <w:tc>
          <w:tcPr>
            <w:tcW w:w="341"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不公示</w:t>
            </w:r>
          </w:p>
        </w:tc>
        <w:tc>
          <w:tcPr>
            <w:tcW w:w="425" w:type="pc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r>
      <w:tr>
        <w:tblPrEx>
          <w:tblCellMar>
            <w:top w:w="0" w:type="dxa"/>
            <w:left w:w="108" w:type="dxa"/>
            <w:bottom w:w="0" w:type="dxa"/>
            <w:right w:w="108" w:type="dxa"/>
          </w:tblCellMar>
        </w:tblPrEx>
        <w:trPr>
          <w:trHeight w:val="1395"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C2602000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C020</w:t>
            </w:r>
          </w:p>
        </w:tc>
        <w:tc>
          <w:tcPr>
            <w:tcW w:w="62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440" w:type="pct"/>
            <w:vMerge w:val="continue"/>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444" w:type="pct"/>
            <w:vMerge w:val="continue"/>
            <w:tcBorders>
              <w:top w:val="nil"/>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90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拒不改正的。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处1万元以下罚款。</w:t>
            </w:r>
          </w:p>
        </w:tc>
        <w:tc>
          <w:tcPr>
            <w:tcW w:w="3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一般  </w:t>
            </w:r>
          </w:p>
        </w:tc>
        <w:tc>
          <w:tcPr>
            <w:tcW w:w="34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2342" w:hRule="atLeast"/>
        </w:trPr>
        <w:tc>
          <w:tcPr>
            <w:tcW w:w="15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30</w:t>
            </w: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C2602100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B010</w:t>
            </w:r>
          </w:p>
        </w:tc>
        <w:tc>
          <w:tcPr>
            <w:tcW w:w="629"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粮油仓储单位未拥有固定经营场地，或者不符合《粮油仓储管理办法》有关污染源、危险源安全距离的规定的行为。</w:t>
            </w:r>
          </w:p>
        </w:tc>
        <w:tc>
          <w:tcPr>
            <w:tcW w:w="440"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《粮油仓储管理办法》第七条第（一）项</w:t>
            </w:r>
          </w:p>
        </w:tc>
        <w:tc>
          <w:tcPr>
            <w:tcW w:w="444"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《粮油仓储管理办法》第二十九条</w:t>
            </w: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粮油仓储单位不具备固定经营场地，或者不符合《粮油仓储管理办法》有关污染源、危险源安全距离规定的。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责令改正，给予警告。</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不纳入</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不公示</w:t>
            </w:r>
          </w:p>
        </w:tc>
        <w:tc>
          <w:tcPr>
            <w:tcW w:w="12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w:t>
            </w:r>
          </w:p>
        </w:tc>
      </w:tr>
      <w:tr>
        <w:tblPrEx>
          <w:tblCellMar>
            <w:top w:w="0" w:type="dxa"/>
            <w:left w:w="108" w:type="dxa"/>
            <w:bottom w:w="0" w:type="dxa"/>
            <w:right w:w="108" w:type="dxa"/>
          </w:tblCellMar>
        </w:tblPrEx>
        <w:trPr>
          <w:trHeight w:val="2197"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C2602100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B020</w:t>
            </w:r>
          </w:p>
        </w:tc>
        <w:tc>
          <w:tcPr>
            <w:tcW w:w="629"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444"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粮油仓储单位不符合《粮油仓储管理办法》有关污染源、危险源安全距离的规定，责令改正，拒不改正的。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处1万元以上2万元以下罚款。</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2473"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C2602100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B030</w:t>
            </w:r>
          </w:p>
        </w:tc>
        <w:tc>
          <w:tcPr>
            <w:tcW w:w="629"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444"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粮油仓储单位不具备固定经营场地，责令改正，拒不改正的。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处2万元以上3万元以下罚款。</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2143" w:hRule="atLeast"/>
        </w:trPr>
        <w:tc>
          <w:tcPr>
            <w:tcW w:w="15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31</w:t>
            </w: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C2602200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B010</w:t>
            </w:r>
          </w:p>
        </w:tc>
        <w:tc>
          <w:tcPr>
            <w:tcW w:w="62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粮油仓储单位未拥有与从事粮油仓储活动相适应的设施设备，或者不符合粮油储藏技术规范的要求的行为。</w:t>
            </w:r>
          </w:p>
        </w:tc>
        <w:tc>
          <w:tcPr>
            <w:tcW w:w="440"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《粮油仓储管理办法》第七条第（二）项</w:t>
            </w:r>
          </w:p>
        </w:tc>
        <w:tc>
          <w:tcPr>
            <w:tcW w:w="444"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《粮油仓储管理办法》第二十九条</w:t>
            </w: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粮油仓储单位不具备与从事粮油仓储活动相适应的设施设备，或者不符合粮油储藏技术规范要求的。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责令改正，给予警告。</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不纳入</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不公示</w:t>
            </w:r>
          </w:p>
        </w:tc>
        <w:tc>
          <w:tcPr>
            <w:tcW w:w="12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w:t>
            </w:r>
          </w:p>
        </w:tc>
      </w:tr>
      <w:tr>
        <w:tblPrEx>
          <w:tblCellMar>
            <w:top w:w="0" w:type="dxa"/>
            <w:left w:w="108" w:type="dxa"/>
            <w:bottom w:w="0" w:type="dxa"/>
            <w:right w:w="108" w:type="dxa"/>
          </w:tblCellMar>
        </w:tblPrEx>
        <w:trPr>
          <w:trHeight w:val="2488"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C2602200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B020</w:t>
            </w:r>
          </w:p>
        </w:tc>
        <w:tc>
          <w:tcPr>
            <w:tcW w:w="62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444"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粮油仓储单位从事粮油仓储活动的设施设备不符合粮油储藏技术规范的要求，责令改正，拒不改正的。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处1万元以上2万元以下罚款。</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2300"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C2602200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B030</w:t>
            </w:r>
          </w:p>
        </w:tc>
        <w:tc>
          <w:tcPr>
            <w:tcW w:w="62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444"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粮油仓储单位不具备与从事粮油仓储活动相适应的设施设备的，责令改正，拒不改正的。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处2万元以上3万元以下罚款。</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1542" w:hRule="atLeast"/>
        </w:trPr>
        <w:tc>
          <w:tcPr>
            <w:tcW w:w="15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6"/>
                <w:szCs w:val="16"/>
              </w:rPr>
            </w:pPr>
            <w:r>
              <w:rPr>
                <w:rFonts w:hint="eastAsia" w:ascii="宋体" w:hAnsi="宋体" w:cs="宋体"/>
                <w:color w:val="000000"/>
                <w:kern w:val="0"/>
                <w:szCs w:val="21"/>
              </w:rPr>
              <w:t>32</w:t>
            </w: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C2602300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B010</w:t>
            </w:r>
          </w:p>
        </w:tc>
        <w:tc>
          <w:tcPr>
            <w:tcW w:w="62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粮油仓储单位未拥有相应的专业技术管理人员的行为。</w:t>
            </w:r>
          </w:p>
        </w:tc>
        <w:tc>
          <w:tcPr>
            <w:tcW w:w="440"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《粮油仓储管理办法》第七条第（三）项</w:t>
            </w:r>
          </w:p>
        </w:tc>
        <w:tc>
          <w:tcPr>
            <w:tcW w:w="444"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《粮油仓储管理办法》第二十九条</w:t>
            </w: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粮油仓储单位未拥有相应的专业技术管理人员的。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责令改正，给予警告。</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不纳入</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不公示</w:t>
            </w:r>
          </w:p>
        </w:tc>
        <w:tc>
          <w:tcPr>
            <w:tcW w:w="12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w:t>
            </w:r>
          </w:p>
        </w:tc>
      </w:tr>
      <w:tr>
        <w:tblPrEx>
          <w:tblCellMar>
            <w:top w:w="0" w:type="dxa"/>
            <w:left w:w="108" w:type="dxa"/>
            <w:bottom w:w="0" w:type="dxa"/>
            <w:right w:w="108" w:type="dxa"/>
          </w:tblCellMar>
        </w:tblPrEx>
        <w:trPr>
          <w:trHeight w:val="1588"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C2602300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B020</w:t>
            </w:r>
          </w:p>
        </w:tc>
        <w:tc>
          <w:tcPr>
            <w:tcW w:w="62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444"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责令改正，拒不改正，且粮油仓储单位实际拥有的专业技术管理人员人数占规定人数50%以上的。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处1万元以上2万元以下罚款。</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1860"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C2602300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B030</w:t>
            </w:r>
          </w:p>
        </w:tc>
        <w:tc>
          <w:tcPr>
            <w:tcW w:w="62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440"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444" w:type="pct"/>
            <w:vMerge w:val="continue"/>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责令改正，拒不改正，且粮油仓储单位实际拥有的专业技术管理人员人数占规定人数50%以下的。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处2万元以上3万元以下罚款。</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2000" w:hRule="atLeast"/>
        </w:trPr>
        <w:tc>
          <w:tcPr>
            <w:tcW w:w="15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33</w:t>
            </w: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C2602400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B000</w:t>
            </w:r>
          </w:p>
        </w:tc>
        <w:tc>
          <w:tcPr>
            <w:tcW w:w="629"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未经国家粮食行政管理部门批准，粮油仓储单位名称中使用“国家储备粮”和“中央储备粮”字样的行为。</w:t>
            </w:r>
          </w:p>
        </w:tc>
        <w:tc>
          <w:tcPr>
            <w:tcW w:w="44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《粮油仓储管理办法》第八条</w:t>
            </w:r>
          </w:p>
        </w:tc>
        <w:tc>
          <w:tcPr>
            <w:tcW w:w="444"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《粮油仓储管理办法》第三十条</w:t>
            </w: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未经国家粮食行政管理部门批准，粮油仓储单位名称中使用“国家储备粮”和“中央储备粮”字样的。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责令改正，给予警告。</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不纳入</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不公示</w:t>
            </w:r>
          </w:p>
        </w:tc>
        <w:tc>
          <w:tcPr>
            <w:tcW w:w="12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w:t>
            </w:r>
          </w:p>
        </w:tc>
      </w:tr>
      <w:tr>
        <w:tblPrEx>
          <w:tblCellMar>
            <w:top w:w="0" w:type="dxa"/>
            <w:left w:w="108" w:type="dxa"/>
            <w:bottom w:w="0" w:type="dxa"/>
            <w:right w:w="108" w:type="dxa"/>
          </w:tblCellMar>
        </w:tblPrEx>
        <w:trPr>
          <w:trHeight w:val="1296" w:hRule="atLeast"/>
        </w:trPr>
        <w:tc>
          <w:tcPr>
            <w:tcW w:w="151" w:type="pct"/>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34</w:t>
            </w: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C2602500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B010</w:t>
            </w:r>
          </w:p>
        </w:tc>
        <w:tc>
          <w:tcPr>
            <w:tcW w:w="629" w:type="pct"/>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粮油仓储单位违反《粮油仓储管理办法》有关粮油出入库、储存等管理规定的行为。</w:t>
            </w:r>
          </w:p>
        </w:tc>
        <w:tc>
          <w:tcPr>
            <w:tcW w:w="440" w:type="pct"/>
            <w:vMerge w:val="restart"/>
            <w:tcBorders>
              <w:top w:val="single" w:color="000000" w:sz="4" w:space="0"/>
              <w:left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《粮油仓储管理办法》第三十一条</w:t>
            </w:r>
          </w:p>
        </w:tc>
        <w:tc>
          <w:tcPr>
            <w:tcW w:w="444" w:type="pct"/>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kern w:val="0"/>
                <w:szCs w:val="21"/>
              </w:rPr>
            </w:pPr>
            <w:r>
              <w:rPr>
                <w:rFonts w:hint="eastAsia" w:ascii="宋体" w:hAnsi="宋体" w:cs="宋体"/>
                <w:color w:val="000000"/>
                <w:kern w:val="0"/>
                <w:szCs w:val="21"/>
              </w:rPr>
              <w:t>《粮油仓储管理办法》第三十一条</w:t>
            </w: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w w:val="90"/>
                <w:kern w:val="0"/>
                <w:szCs w:val="21"/>
              </w:rPr>
            </w:pPr>
            <w:r>
              <w:rPr>
                <w:rFonts w:hint="eastAsia" w:ascii="宋体" w:hAnsi="宋体" w:cs="宋体"/>
                <w:color w:val="000000"/>
                <w:w w:val="90"/>
                <w:kern w:val="0"/>
                <w:szCs w:val="21"/>
              </w:rPr>
              <w:t>粮油仓储单位违反《粮油仓储管理办法》有关粮油出入库、储存等管理规定的。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w w:val="90"/>
                <w:kern w:val="0"/>
                <w:szCs w:val="21"/>
              </w:rPr>
            </w:pPr>
            <w:r>
              <w:rPr>
                <w:rFonts w:hint="eastAsia" w:ascii="宋体" w:hAnsi="宋体" w:cs="宋体"/>
                <w:color w:val="000000"/>
                <w:w w:val="90"/>
                <w:kern w:val="0"/>
                <w:szCs w:val="21"/>
              </w:rPr>
              <w:t>责令改正，给予警告；造成粮油储存事故或者安全生产事故的，按照有关法律法规和国家有关规定给予处罚。</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一般</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3个月</w:t>
            </w:r>
          </w:p>
        </w:tc>
      </w:tr>
      <w:tr>
        <w:tblPrEx>
          <w:tblCellMar>
            <w:top w:w="0" w:type="dxa"/>
            <w:left w:w="108" w:type="dxa"/>
            <w:bottom w:w="0" w:type="dxa"/>
            <w:right w:w="108" w:type="dxa"/>
          </w:tblCellMar>
        </w:tblPrEx>
        <w:trPr>
          <w:trHeight w:val="1858"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C2602500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B020</w:t>
            </w:r>
          </w:p>
        </w:tc>
        <w:tc>
          <w:tcPr>
            <w:tcW w:w="62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440" w:type="pct"/>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44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w w:val="90"/>
                <w:kern w:val="0"/>
                <w:szCs w:val="21"/>
              </w:rPr>
            </w:pPr>
            <w:r>
              <w:rPr>
                <w:rFonts w:hint="eastAsia" w:ascii="宋体" w:hAnsi="宋体" w:cs="宋体"/>
                <w:color w:val="000000"/>
                <w:w w:val="90"/>
                <w:kern w:val="0"/>
                <w:szCs w:val="21"/>
              </w:rPr>
              <w:t>粮油仓储单位违反《粮油仓储管理办法》第十一条、第十五条、第十七条、第十九条、第二十二条，情节严重的，或经警告后仍不改正的。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w w:val="90"/>
                <w:kern w:val="0"/>
                <w:szCs w:val="21"/>
              </w:rPr>
            </w:pPr>
            <w:r>
              <w:rPr>
                <w:rFonts w:hint="eastAsia" w:ascii="宋体" w:hAnsi="宋体" w:cs="宋体"/>
                <w:color w:val="000000"/>
                <w:w w:val="90"/>
                <w:kern w:val="0"/>
                <w:szCs w:val="21"/>
              </w:rPr>
              <w:t>责令改正，给予警告，可以并处1万元以下罚款；造成粮油储存事故或者安全生产事故的，按照有关法律法规和国家有关规定给予处罚。</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r>
      <w:tr>
        <w:tblPrEx>
          <w:tblCellMar>
            <w:top w:w="0" w:type="dxa"/>
            <w:left w:w="108" w:type="dxa"/>
            <w:bottom w:w="0" w:type="dxa"/>
            <w:right w:w="108" w:type="dxa"/>
          </w:tblCellMar>
        </w:tblPrEx>
        <w:trPr>
          <w:trHeight w:val="1863"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C2602500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B030</w:t>
            </w:r>
          </w:p>
        </w:tc>
        <w:tc>
          <w:tcPr>
            <w:tcW w:w="62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440" w:type="pct"/>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44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w w:val="90"/>
                <w:kern w:val="0"/>
                <w:szCs w:val="21"/>
              </w:rPr>
            </w:pPr>
            <w:r>
              <w:rPr>
                <w:rFonts w:hint="eastAsia" w:ascii="宋体" w:hAnsi="宋体" w:cs="宋体"/>
                <w:color w:val="000000"/>
                <w:w w:val="90"/>
                <w:kern w:val="0"/>
                <w:szCs w:val="21"/>
              </w:rPr>
              <w:t>粮油仓储单位违反《粮油仓储管理办法》第九条、第十条、第十二条、第十三条、第十六条、第十八条、第二十三条、第二十四条，情节严重的，或经警告后仍不改正的。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w w:val="90"/>
                <w:kern w:val="0"/>
                <w:szCs w:val="21"/>
              </w:rPr>
            </w:pPr>
            <w:r>
              <w:rPr>
                <w:rFonts w:hint="eastAsia" w:ascii="宋体" w:hAnsi="宋体" w:cs="宋体"/>
                <w:color w:val="000000"/>
                <w:w w:val="90"/>
                <w:kern w:val="0"/>
                <w:szCs w:val="21"/>
              </w:rPr>
              <w:t>责令改正，给予警告，可以并处1万元以上2万元以下罚款；造成粮油储存事故或者安全生产事故的，按照有关法律法规和国家有关规定给予处罚。</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3-6个月</w:t>
            </w:r>
          </w:p>
        </w:tc>
      </w:tr>
      <w:tr>
        <w:tblPrEx>
          <w:tblCellMar>
            <w:top w:w="0" w:type="dxa"/>
            <w:left w:w="108" w:type="dxa"/>
            <w:bottom w:w="0" w:type="dxa"/>
            <w:right w:w="108" w:type="dxa"/>
          </w:tblCellMar>
        </w:tblPrEx>
        <w:trPr>
          <w:trHeight w:val="250" w:hRule="atLeast"/>
        </w:trPr>
        <w:tc>
          <w:tcPr>
            <w:tcW w:w="15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6"/>
                <w:szCs w:val="16"/>
              </w:rPr>
            </w:pPr>
          </w:p>
        </w:tc>
        <w:tc>
          <w:tcPr>
            <w:tcW w:w="47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C2602500</w:t>
            </w:r>
          </w:p>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B040</w:t>
            </w:r>
          </w:p>
        </w:tc>
        <w:tc>
          <w:tcPr>
            <w:tcW w:w="62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p>
        </w:tc>
        <w:tc>
          <w:tcPr>
            <w:tcW w:w="440" w:type="pct"/>
            <w:vMerge w:val="continue"/>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444"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p>
        </w:tc>
        <w:tc>
          <w:tcPr>
            <w:tcW w:w="90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w w:val="90"/>
                <w:kern w:val="0"/>
                <w:szCs w:val="21"/>
              </w:rPr>
            </w:pPr>
            <w:r>
              <w:rPr>
                <w:rFonts w:hint="eastAsia" w:ascii="宋体" w:hAnsi="宋体" w:cs="宋体"/>
                <w:color w:val="000000"/>
                <w:w w:val="90"/>
                <w:kern w:val="0"/>
                <w:szCs w:val="21"/>
              </w:rPr>
              <w:t>粮油仓储单位违反《粮油仓储管理办法》第十四条、第二十五条、第二十六条、第二十七条，情节严重的，或经警告后仍不改正的。</w:t>
            </w:r>
          </w:p>
        </w:tc>
        <w:tc>
          <w:tcPr>
            <w:tcW w:w="851"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000000"/>
                <w:w w:val="90"/>
                <w:kern w:val="0"/>
                <w:szCs w:val="21"/>
              </w:rPr>
            </w:pPr>
            <w:r>
              <w:rPr>
                <w:rFonts w:hint="eastAsia" w:ascii="宋体" w:hAnsi="宋体" w:cs="宋体"/>
                <w:color w:val="000000"/>
                <w:w w:val="90"/>
                <w:kern w:val="0"/>
                <w:szCs w:val="21"/>
              </w:rPr>
              <w:t>责令改正，给予警告，可以并处2万元以上3万元以下罚款；造成粮油储存事故或者安全生产事故的，按照有关法律法规和国家有关规定给予处罚。</w:t>
            </w:r>
          </w:p>
        </w:tc>
        <w:tc>
          <w:tcPr>
            <w:tcW w:w="3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严重</w:t>
            </w:r>
          </w:p>
        </w:tc>
        <w:tc>
          <w:tcPr>
            <w:tcW w:w="34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12个月</w:t>
            </w:r>
          </w:p>
        </w:tc>
        <w:tc>
          <w:tcPr>
            <w:tcW w:w="42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Cs w:val="21"/>
              </w:rPr>
              <w:t>3-6个月</w:t>
            </w:r>
          </w:p>
        </w:tc>
      </w:tr>
    </w:tbl>
    <w:p>
      <w:pPr>
        <w:jc w:val="center"/>
        <w:rPr>
          <w:rFonts w:hint="eastAsia" w:ascii="宋体" w:hAnsi="宋体" w:cs="宋体"/>
          <w:color w:val="000000"/>
          <w:sz w:val="32"/>
          <w:szCs w:val="32"/>
        </w:rPr>
      </w:pPr>
    </w:p>
    <w:p>
      <w:pPr>
        <w:pStyle w:val="2"/>
        <w:ind w:firstLine="600"/>
      </w:pPr>
    </w:p>
    <w:p>
      <w:pPr>
        <w:jc w:val="center"/>
        <w:rPr>
          <w:rFonts w:ascii="宋体" w:hAnsi="宋体" w:cs="宋体"/>
          <w:color w:val="000000"/>
          <w:sz w:val="32"/>
          <w:szCs w:val="32"/>
        </w:rPr>
      </w:pPr>
      <w:r>
        <w:rPr>
          <w:rFonts w:hint="eastAsia" w:ascii="宋体" w:hAnsi="宋体" w:cs="宋体"/>
          <w:color w:val="000000"/>
          <w:sz w:val="32"/>
          <w:szCs w:val="32"/>
        </w:rPr>
        <w:t>《国有粮油仓储物流设施保护办法》</w:t>
      </w:r>
    </w:p>
    <w:tbl>
      <w:tblPr>
        <w:tblStyle w:val="9"/>
        <w:tblW w:w="5320" w:type="pct"/>
        <w:tblInd w:w="-459" w:type="dxa"/>
        <w:tblLayout w:type="fixed"/>
        <w:tblCellMar>
          <w:top w:w="0" w:type="dxa"/>
          <w:left w:w="108" w:type="dxa"/>
          <w:bottom w:w="0" w:type="dxa"/>
          <w:right w:w="108" w:type="dxa"/>
        </w:tblCellMar>
      </w:tblPr>
      <w:tblGrid>
        <w:gridCol w:w="511"/>
        <w:gridCol w:w="1358"/>
        <w:gridCol w:w="1904"/>
        <w:gridCol w:w="1306"/>
        <w:gridCol w:w="1366"/>
        <w:gridCol w:w="2601"/>
        <w:gridCol w:w="2538"/>
        <w:gridCol w:w="1020"/>
        <w:gridCol w:w="1020"/>
        <w:gridCol w:w="1456"/>
      </w:tblGrid>
      <w:tr>
        <w:tblPrEx>
          <w:tblCellMar>
            <w:top w:w="0" w:type="dxa"/>
            <w:left w:w="108" w:type="dxa"/>
            <w:bottom w:w="0" w:type="dxa"/>
            <w:right w:w="108" w:type="dxa"/>
          </w:tblCellMar>
        </w:tblPrEx>
        <w:trPr>
          <w:trHeight w:val="375" w:hRule="atLeast"/>
          <w:tblHeader/>
        </w:trPr>
        <w:tc>
          <w:tcPr>
            <w:tcW w:w="169"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序</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号</w:t>
            </w:r>
          </w:p>
        </w:tc>
        <w:tc>
          <w:tcPr>
            <w:tcW w:w="450"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裁量权</w:t>
            </w:r>
          </w:p>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基准编码</w:t>
            </w:r>
          </w:p>
        </w:tc>
        <w:tc>
          <w:tcPr>
            <w:tcW w:w="630" w:type="pct"/>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违法行为名称</w:t>
            </w:r>
          </w:p>
        </w:tc>
        <w:tc>
          <w:tcPr>
            <w:tcW w:w="886" w:type="pct"/>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法律依据</w:t>
            </w:r>
          </w:p>
        </w:tc>
        <w:tc>
          <w:tcPr>
            <w:tcW w:w="861" w:type="pct"/>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具体违法情节</w:t>
            </w:r>
          </w:p>
        </w:tc>
        <w:tc>
          <w:tcPr>
            <w:tcW w:w="840" w:type="pct"/>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处罚裁量权基准</w:t>
            </w:r>
          </w:p>
        </w:tc>
        <w:tc>
          <w:tcPr>
            <w:tcW w:w="338"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行为</w:t>
            </w:r>
          </w:p>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分类</w:t>
            </w:r>
          </w:p>
        </w:tc>
        <w:tc>
          <w:tcPr>
            <w:tcW w:w="338"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处罚</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公示</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期限</w:t>
            </w:r>
          </w:p>
        </w:tc>
        <w:tc>
          <w:tcPr>
            <w:tcW w:w="483" w:type="pct"/>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可以申请</w:t>
            </w:r>
          </w:p>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缩短</w:t>
            </w:r>
            <w:r>
              <w:rPr>
                <w:rFonts w:hint="eastAsia" w:ascii="CESI仿宋-GB2312" w:hAnsi="CESI仿宋-GB2312" w:eastAsia="CESI仿宋-GB2312" w:cs="CESI仿宋-GB2312"/>
                <w:b/>
                <w:color w:val="000000"/>
                <w:kern w:val="0"/>
                <w:sz w:val="24"/>
                <w:szCs w:val="24"/>
              </w:rPr>
              <w:br w:type="textWrapping"/>
            </w:r>
            <w:r>
              <w:rPr>
                <w:rFonts w:hint="eastAsia" w:ascii="CESI仿宋-GB2312" w:hAnsi="CESI仿宋-GB2312" w:eastAsia="CESI仿宋-GB2312" w:cs="CESI仿宋-GB2312"/>
                <w:b/>
                <w:color w:val="000000"/>
                <w:kern w:val="0"/>
                <w:sz w:val="24"/>
                <w:szCs w:val="24"/>
              </w:rPr>
              <w:t>公示期</w:t>
            </w:r>
          </w:p>
        </w:tc>
      </w:tr>
      <w:tr>
        <w:tblPrEx>
          <w:tblCellMar>
            <w:top w:w="0" w:type="dxa"/>
            <w:left w:w="108" w:type="dxa"/>
            <w:bottom w:w="0" w:type="dxa"/>
            <w:right w:w="108" w:type="dxa"/>
          </w:tblCellMar>
        </w:tblPrEx>
        <w:trPr>
          <w:trHeight w:val="750" w:hRule="atLeast"/>
          <w:tblHeader/>
        </w:trPr>
        <w:tc>
          <w:tcPr>
            <w:tcW w:w="169" w:type="pct"/>
            <w:vMerge w:val="continue"/>
            <w:tcBorders>
              <w:top w:val="single" w:color="auto" w:sz="4" w:space="0"/>
              <w:left w:val="single" w:color="auto" w:sz="4" w:space="0"/>
              <w:bottom w:val="single" w:color="auto" w:sz="4" w:space="0"/>
              <w:right w:val="single" w:color="000000" w:sz="4" w:space="0"/>
            </w:tcBorders>
            <w:vAlign w:val="center"/>
          </w:tcPr>
          <w:p>
            <w:pPr>
              <w:jc w:val="center"/>
              <w:rPr>
                <w:rFonts w:ascii="CESI仿宋-GB2312" w:hAnsi="CESI仿宋-GB2312" w:eastAsia="CESI仿宋-GB2312" w:cs="CESI仿宋-GB2312"/>
                <w:b/>
                <w:color w:val="000000"/>
                <w:sz w:val="18"/>
                <w:szCs w:val="18"/>
              </w:rPr>
            </w:pPr>
          </w:p>
        </w:tc>
        <w:tc>
          <w:tcPr>
            <w:tcW w:w="450"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CESI仿宋-GB2312" w:hAnsi="CESI仿宋-GB2312" w:eastAsia="CESI仿宋-GB2312" w:cs="CESI仿宋-GB2312"/>
                <w:b/>
                <w:color w:val="000000"/>
                <w:sz w:val="18"/>
                <w:szCs w:val="18"/>
              </w:rPr>
            </w:pPr>
          </w:p>
        </w:tc>
        <w:tc>
          <w:tcPr>
            <w:tcW w:w="630" w:type="pct"/>
            <w:vMerge w:val="continue"/>
            <w:tcBorders>
              <w:top w:val="single" w:color="auto" w:sz="4" w:space="0"/>
              <w:left w:val="single" w:color="000000" w:sz="4" w:space="0"/>
              <w:bottom w:val="single" w:color="auto" w:sz="4" w:space="0"/>
              <w:right w:val="single" w:color="000000" w:sz="4" w:space="0"/>
            </w:tcBorders>
            <w:noWrap/>
            <w:vAlign w:val="center"/>
          </w:tcPr>
          <w:p>
            <w:pPr>
              <w:jc w:val="center"/>
              <w:rPr>
                <w:rFonts w:ascii="CESI仿宋-GB2312" w:hAnsi="CESI仿宋-GB2312" w:eastAsia="CESI仿宋-GB2312" w:cs="CESI仿宋-GB2312"/>
                <w:b/>
                <w:color w:val="000000"/>
                <w:sz w:val="18"/>
                <w:szCs w:val="18"/>
              </w:rPr>
            </w:pPr>
          </w:p>
        </w:tc>
        <w:tc>
          <w:tcPr>
            <w:tcW w:w="433" w:type="pct"/>
            <w:tcBorders>
              <w:top w:val="single" w:color="auto"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违法行为依据</w:t>
            </w:r>
          </w:p>
        </w:tc>
        <w:tc>
          <w:tcPr>
            <w:tcW w:w="453" w:type="pct"/>
            <w:tcBorders>
              <w:top w:val="single" w:color="auto" w:sz="4" w:space="0"/>
              <w:left w:val="single" w:color="000000" w:sz="4" w:space="0"/>
              <w:bottom w:val="single" w:color="auto"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color w:val="000000"/>
                <w:kern w:val="0"/>
                <w:sz w:val="24"/>
                <w:szCs w:val="24"/>
              </w:rPr>
            </w:pPr>
            <w:r>
              <w:rPr>
                <w:rFonts w:hint="eastAsia" w:ascii="CESI仿宋-GB2312" w:hAnsi="CESI仿宋-GB2312" w:eastAsia="CESI仿宋-GB2312" w:cs="CESI仿宋-GB2312"/>
                <w:b/>
                <w:color w:val="000000"/>
                <w:kern w:val="0"/>
                <w:sz w:val="24"/>
                <w:szCs w:val="24"/>
              </w:rPr>
              <w:t>处罚依据</w:t>
            </w:r>
          </w:p>
        </w:tc>
        <w:tc>
          <w:tcPr>
            <w:tcW w:w="861" w:type="pct"/>
            <w:vMerge w:val="continue"/>
            <w:tcBorders>
              <w:top w:val="single" w:color="auto" w:sz="4" w:space="0"/>
              <w:left w:val="single" w:color="000000" w:sz="4" w:space="0"/>
              <w:bottom w:val="single" w:color="000000" w:sz="4" w:space="0"/>
              <w:right w:val="single" w:color="000000" w:sz="4" w:space="0"/>
            </w:tcBorders>
            <w:noWrap/>
            <w:vAlign w:val="center"/>
          </w:tcPr>
          <w:p>
            <w:pPr>
              <w:jc w:val="center"/>
              <w:rPr>
                <w:rFonts w:ascii="CESI仿宋-GB2312" w:hAnsi="CESI仿宋-GB2312" w:eastAsia="CESI仿宋-GB2312" w:cs="CESI仿宋-GB2312"/>
                <w:b/>
                <w:color w:val="000000"/>
                <w:sz w:val="18"/>
                <w:szCs w:val="18"/>
              </w:rPr>
            </w:pPr>
          </w:p>
        </w:tc>
        <w:tc>
          <w:tcPr>
            <w:tcW w:w="840" w:type="pct"/>
            <w:vMerge w:val="continue"/>
            <w:tcBorders>
              <w:top w:val="single" w:color="auto" w:sz="4" w:space="0"/>
              <w:left w:val="single" w:color="000000" w:sz="4" w:space="0"/>
              <w:bottom w:val="single" w:color="000000" w:sz="4" w:space="0"/>
              <w:right w:val="single" w:color="000000" w:sz="4" w:space="0"/>
            </w:tcBorders>
            <w:noWrap/>
            <w:vAlign w:val="center"/>
          </w:tcPr>
          <w:p>
            <w:pPr>
              <w:jc w:val="center"/>
              <w:rPr>
                <w:rFonts w:ascii="CESI仿宋-GB2312" w:hAnsi="CESI仿宋-GB2312" w:eastAsia="CESI仿宋-GB2312" w:cs="CESI仿宋-GB2312"/>
                <w:b/>
                <w:color w:val="000000"/>
                <w:sz w:val="18"/>
                <w:szCs w:val="18"/>
              </w:rPr>
            </w:pPr>
          </w:p>
        </w:tc>
        <w:tc>
          <w:tcPr>
            <w:tcW w:w="338" w:type="pct"/>
            <w:vMerge w:val="continue"/>
            <w:tcBorders>
              <w:top w:val="single" w:color="auto" w:sz="4" w:space="0"/>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b/>
                <w:color w:val="000000"/>
                <w:sz w:val="18"/>
                <w:szCs w:val="18"/>
              </w:rPr>
            </w:pPr>
          </w:p>
        </w:tc>
        <w:tc>
          <w:tcPr>
            <w:tcW w:w="338" w:type="pct"/>
            <w:vMerge w:val="continue"/>
            <w:tcBorders>
              <w:top w:val="single" w:color="auto" w:sz="4" w:space="0"/>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b/>
                <w:color w:val="000000"/>
                <w:sz w:val="18"/>
                <w:szCs w:val="18"/>
              </w:rPr>
            </w:pPr>
          </w:p>
        </w:tc>
        <w:tc>
          <w:tcPr>
            <w:tcW w:w="483" w:type="pct"/>
            <w:vMerge w:val="continue"/>
            <w:tcBorders>
              <w:top w:val="single" w:color="auto" w:sz="4" w:space="0"/>
              <w:left w:val="single" w:color="000000" w:sz="4" w:space="0"/>
              <w:bottom w:val="single" w:color="000000" w:sz="4" w:space="0"/>
              <w:right w:val="single" w:color="auto" w:sz="4" w:space="0"/>
            </w:tcBorders>
            <w:vAlign w:val="center"/>
          </w:tcPr>
          <w:p>
            <w:pPr>
              <w:jc w:val="center"/>
              <w:rPr>
                <w:rFonts w:ascii="CESI仿宋-GB2312" w:hAnsi="CESI仿宋-GB2312" w:eastAsia="CESI仿宋-GB2312" w:cs="CESI仿宋-GB2312"/>
                <w:b/>
                <w:color w:val="000000"/>
                <w:sz w:val="18"/>
                <w:szCs w:val="18"/>
              </w:rPr>
            </w:pPr>
          </w:p>
        </w:tc>
      </w:tr>
      <w:tr>
        <w:tblPrEx>
          <w:tblCellMar>
            <w:top w:w="0" w:type="dxa"/>
            <w:left w:w="108" w:type="dxa"/>
            <w:bottom w:w="0" w:type="dxa"/>
            <w:right w:w="108" w:type="dxa"/>
          </w:tblCellMar>
        </w:tblPrEx>
        <w:trPr>
          <w:trHeight w:val="1474" w:hRule="atLeast"/>
        </w:trPr>
        <w:tc>
          <w:tcPr>
            <w:tcW w:w="169"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35</w:t>
            </w:r>
          </w:p>
        </w:tc>
        <w:tc>
          <w:tcPr>
            <w:tcW w:w="45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C2602600</w:t>
            </w:r>
          </w:p>
          <w:p>
            <w:pPr>
              <w:widowControl/>
              <w:jc w:val="center"/>
              <w:textAlignment w:val="center"/>
              <w:rPr>
                <w:rFonts w:ascii="宋体" w:hAnsi="宋体" w:cs="宋体"/>
                <w:kern w:val="0"/>
                <w:szCs w:val="21"/>
              </w:rPr>
            </w:pPr>
            <w:r>
              <w:rPr>
                <w:rFonts w:hint="eastAsia" w:ascii="宋体" w:hAnsi="宋体" w:cs="宋体"/>
                <w:kern w:val="0"/>
                <w:szCs w:val="21"/>
              </w:rPr>
              <w:t>B010</w:t>
            </w:r>
          </w:p>
        </w:tc>
        <w:tc>
          <w:tcPr>
            <w:tcW w:w="630" w:type="pct"/>
            <w:vMerge w:val="restar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侵占、损毁、擅自拆除或者迁移政府投资建设的粮食流通基础设施，或者擅自改变其用途的行为。</w:t>
            </w:r>
          </w:p>
        </w:tc>
        <w:tc>
          <w:tcPr>
            <w:tcW w:w="433" w:type="pct"/>
            <w:vMerge w:val="restar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《中华人民共和国粮食安全保障法》第三十六条第二款、《国有粮油仓储物流设施保护办法》第五条</w:t>
            </w:r>
          </w:p>
        </w:tc>
        <w:tc>
          <w:tcPr>
            <w:tcW w:w="453" w:type="pct"/>
            <w:vMerge w:val="restar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《中华人民共和国粮食安全保障法》第六十八条</w:t>
            </w:r>
          </w:p>
        </w:tc>
        <w:tc>
          <w:tcPr>
            <w:tcW w:w="861" w:type="pct"/>
            <w:tcBorders>
              <w:top w:val="single" w:color="000000" w:sz="4" w:space="0"/>
              <w:left w:val="single" w:color="auto" w:sz="4" w:space="0"/>
              <w:bottom w:val="single" w:color="000000" w:sz="4" w:space="0"/>
              <w:right w:val="single" w:color="000000"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责令停止违法行为，限期恢复原状或者采取其他补救措施，逾期30日不恢复原状、不采取补救措施的。</w:t>
            </w:r>
          </w:p>
        </w:tc>
        <w:tc>
          <w:tcPr>
            <w:tcW w:w="84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Cs w:val="21"/>
              </w:rPr>
            </w:pPr>
            <w:r>
              <w:rPr>
                <w:rFonts w:hint="eastAsia" w:ascii="宋体" w:hAnsi="宋体" w:cs="宋体"/>
                <w:kern w:val="0"/>
                <w:szCs w:val="21"/>
              </w:rPr>
              <w:t>对单位处五万元以上十万元以下罚款，对个人处五千元以上一万元以下罚款。</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一般</w:t>
            </w:r>
          </w:p>
        </w:tc>
        <w:tc>
          <w:tcPr>
            <w:tcW w:w="33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6个月</w:t>
            </w:r>
          </w:p>
        </w:tc>
        <w:tc>
          <w:tcPr>
            <w:tcW w:w="48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3个月</w:t>
            </w:r>
          </w:p>
        </w:tc>
      </w:tr>
      <w:tr>
        <w:tblPrEx>
          <w:tblCellMar>
            <w:top w:w="0" w:type="dxa"/>
            <w:left w:w="108" w:type="dxa"/>
            <w:bottom w:w="0" w:type="dxa"/>
            <w:right w:w="108" w:type="dxa"/>
          </w:tblCellMar>
        </w:tblPrEx>
        <w:trPr>
          <w:trHeight w:val="3750" w:hRule="atLeast"/>
        </w:trPr>
        <w:tc>
          <w:tcPr>
            <w:tcW w:w="169" w:type="pct"/>
            <w:vMerge w:val="continue"/>
            <w:tcBorders>
              <w:top w:val="single" w:color="auto" w:sz="4" w:space="0"/>
              <w:left w:val="single" w:color="auto" w:sz="4" w:space="0"/>
              <w:bottom w:val="single" w:color="auto" w:sz="4" w:space="0"/>
              <w:right w:val="single" w:color="000000" w:sz="4" w:space="0"/>
            </w:tcBorders>
            <w:noWrap/>
            <w:vAlign w:val="center"/>
          </w:tcPr>
          <w:p>
            <w:pPr>
              <w:widowControl/>
              <w:jc w:val="center"/>
              <w:textAlignment w:val="center"/>
              <w:rPr>
                <w:rFonts w:ascii="宋体" w:hAnsi="宋体" w:cs="宋体"/>
                <w:color w:val="000000"/>
                <w:kern w:val="0"/>
                <w:szCs w:val="21"/>
                <w:highlight w:val="yellow"/>
              </w:rPr>
            </w:pPr>
          </w:p>
        </w:tc>
        <w:tc>
          <w:tcPr>
            <w:tcW w:w="450" w:type="pc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C2602600</w:t>
            </w:r>
          </w:p>
          <w:p>
            <w:pPr>
              <w:widowControl/>
              <w:jc w:val="center"/>
              <w:textAlignment w:val="center"/>
              <w:rPr>
                <w:rFonts w:ascii="宋体" w:hAnsi="宋体" w:cs="宋体"/>
                <w:kern w:val="0"/>
                <w:szCs w:val="21"/>
              </w:rPr>
            </w:pPr>
            <w:r>
              <w:rPr>
                <w:rFonts w:hint="eastAsia" w:ascii="宋体" w:hAnsi="宋体" w:cs="宋体"/>
                <w:kern w:val="0"/>
                <w:szCs w:val="21"/>
              </w:rPr>
              <w:t>B020</w:t>
            </w:r>
          </w:p>
        </w:tc>
        <w:tc>
          <w:tcPr>
            <w:tcW w:w="630"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kern w:val="0"/>
                <w:szCs w:val="21"/>
              </w:rPr>
            </w:pPr>
          </w:p>
        </w:tc>
        <w:tc>
          <w:tcPr>
            <w:tcW w:w="433" w:type="pct"/>
            <w:vMerge w:val="continue"/>
            <w:tcBorders>
              <w:top w:val="single" w:color="auto" w:sz="4" w:space="0"/>
              <w:left w:val="single" w:color="000000" w:sz="4" w:space="0"/>
              <w:bottom w:val="single" w:color="auto" w:sz="4" w:space="0"/>
              <w:right w:val="single" w:color="000000" w:sz="4" w:space="0"/>
            </w:tcBorders>
            <w:vAlign w:val="center"/>
          </w:tcPr>
          <w:p>
            <w:pPr>
              <w:widowControl/>
              <w:textAlignment w:val="center"/>
              <w:rPr>
                <w:rFonts w:ascii="宋体" w:hAnsi="宋体" w:cs="宋体"/>
                <w:kern w:val="0"/>
                <w:szCs w:val="21"/>
              </w:rPr>
            </w:pPr>
          </w:p>
        </w:tc>
        <w:tc>
          <w:tcPr>
            <w:tcW w:w="453" w:type="pct"/>
            <w:vMerge w:val="continue"/>
            <w:tcBorders>
              <w:top w:val="single" w:color="auto" w:sz="4" w:space="0"/>
              <w:left w:val="single" w:color="000000" w:sz="4" w:space="0"/>
              <w:bottom w:val="single" w:color="auto" w:sz="4" w:space="0"/>
              <w:right w:val="single" w:color="auto" w:sz="4" w:space="0"/>
            </w:tcBorders>
            <w:vAlign w:val="center"/>
          </w:tcPr>
          <w:p>
            <w:pPr>
              <w:widowControl/>
              <w:textAlignment w:val="center"/>
              <w:rPr>
                <w:rFonts w:ascii="宋体" w:hAnsi="宋体" w:cs="宋体"/>
                <w:kern w:val="0"/>
                <w:szCs w:val="21"/>
              </w:rPr>
            </w:pPr>
          </w:p>
        </w:tc>
        <w:tc>
          <w:tcPr>
            <w:tcW w:w="861" w:type="pct"/>
            <w:tcBorders>
              <w:top w:val="single" w:color="000000" w:sz="4" w:space="0"/>
              <w:left w:val="single" w:color="auto" w:sz="4" w:space="0"/>
              <w:bottom w:val="single" w:color="auto"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责令停止违法行为，限期恢复原状或者采取其他补救措施，逾期80日不恢复原状、不采取补救措施的。</w:t>
            </w:r>
          </w:p>
        </w:tc>
        <w:tc>
          <w:tcPr>
            <w:tcW w:w="840" w:type="pct"/>
            <w:tcBorders>
              <w:top w:val="single" w:color="000000" w:sz="4" w:space="0"/>
              <w:left w:val="single" w:color="000000" w:sz="4" w:space="0"/>
              <w:bottom w:val="single" w:color="auto" w:sz="4" w:space="0"/>
              <w:right w:val="single" w:color="000000" w:sz="4" w:space="0"/>
            </w:tcBorders>
            <w:vAlign w:val="center"/>
          </w:tcPr>
          <w:p>
            <w:pPr>
              <w:widowControl/>
              <w:jc w:val="both"/>
              <w:rPr>
                <w:rFonts w:ascii="宋体" w:hAnsi="宋体" w:cs="宋体"/>
                <w:color w:val="auto"/>
                <w:kern w:val="0"/>
                <w:szCs w:val="21"/>
              </w:rPr>
            </w:pPr>
            <w:r>
              <w:rPr>
                <w:rFonts w:hint="eastAsia" w:ascii="宋体" w:hAnsi="宋体" w:cs="宋体"/>
                <w:color w:val="auto"/>
                <w:kern w:val="0"/>
                <w:szCs w:val="21"/>
              </w:rPr>
              <w:t>法定罚款幅度四十万元</w:t>
            </w:r>
            <w:r>
              <w:rPr>
                <w:rFonts w:hint="eastAsia" w:ascii="宋体" w:hAnsi="宋体" w:cs="宋体"/>
                <w:color w:val="auto"/>
                <w:kern w:val="0"/>
                <w:szCs w:val="21"/>
                <w:lang w:eastAsia="zh-CN"/>
              </w:rPr>
              <w:t>。以</w:t>
            </w:r>
            <w:r>
              <w:rPr>
                <w:rFonts w:hint="eastAsia" w:ascii="宋体" w:hAnsi="宋体" w:cs="宋体"/>
                <w:color w:val="auto"/>
                <w:kern w:val="0"/>
                <w:szCs w:val="21"/>
              </w:rPr>
              <w:t>法定罚款幅度20%为阶次划分标准，设置5个罚款裁量阶次，每逾期10天，依次累进，对单位处十万元以上五十万元以下罚款，对个人处一万元以上五万元以下罚款。</w:t>
            </w:r>
          </w:p>
        </w:tc>
        <w:tc>
          <w:tcPr>
            <w:tcW w:w="338"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严重</w:t>
            </w:r>
          </w:p>
        </w:tc>
        <w:tc>
          <w:tcPr>
            <w:tcW w:w="338"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12个月</w:t>
            </w:r>
          </w:p>
        </w:tc>
        <w:tc>
          <w:tcPr>
            <w:tcW w:w="483" w:type="pc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kern w:val="0"/>
                <w:szCs w:val="21"/>
              </w:rPr>
            </w:pPr>
            <w:r>
              <w:rPr>
                <w:rFonts w:hint="eastAsia" w:ascii="宋体" w:hAnsi="宋体" w:cs="宋体"/>
                <w:kern w:val="0"/>
                <w:szCs w:val="21"/>
              </w:rPr>
              <w:t>3-6个月</w:t>
            </w:r>
          </w:p>
        </w:tc>
      </w:tr>
      <w:tr>
        <w:tblPrEx>
          <w:tblCellMar>
            <w:top w:w="0" w:type="dxa"/>
            <w:left w:w="108" w:type="dxa"/>
            <w:bottom w:w="0" w:type="dxa"/>
            <w:right w:w="108" w:type="dxa"/>
          </w:tblCellMar>
        </w:tblPrEx>
        <w:trPr>
          <w:trHeight w:val="3263" w:hRule="atLeast"/>
        </w:trPr>
        <w:tc>
          <w:tcPr>
            <w:tcW w:w="169"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kern w:val="0"/>
                <w:szCs w:val="21"/>
                <w:highlight w:val="yellow"/>
              </w:rPr>
            </w:pPr>
            <w:r>
              <w:rPr>
                <w:rFonts w:hint="eastAsia" w:ascii="宋体" w:hAnsi="宋体" w:cs="宋体"/>
                <w:color w:val="000000"/>
                <w:kern w:val="0"/>
                <w:szCs w:val="21"/>
              </w:rPr>
              <w:t>36</w:t>
            </w:r>
          </w:p>
        </w:tc>
        <w:tc>
          <w:tcPr>
            <w:tcW w:w="450"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C2602800</w:t>
            </w:r>
          </w:p>
          <w:p>
            <w:pPr>
              <w:widowControl/>
              <w:jc w:val="center"/>
              <w:textAlignment w:val="center"/>
              <w:rPr>
                <w:rFonts w:ascii="宋体" w:hAnsi="宋体" w:cs="宋体"/>
                <w:kern w:val="0"/>
                <w:szCs w:val="21"/>
              </w:rPr>
            </w:pPr>
            <w:r>
              <w:rPr>
                <w:rFonts w:hint="eastAsia" w:ascii="宋体" w:hAnsi="宋体" w:cs="宋体"/>
                <w:color w:val="000000"/>
                <w:kern w:val="0"/>
                <w:szCs w:val="21"/>
              </w:rPr>
              <w:t>B000</w:t>
            </w:r>
          </w:p>
        </w:tc>
        <w:tc>
          <w:tcPr>
            <w:tcW w:w="630"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kern w:val="0"/>
                <w:szCs w:val="21"/>
              </w:rPr>
            </w:pPr>
            <w:r>
              <w:rPr>
                <w:rFonts w:hint="eastAsia" w:ascii="宋体" w:hAnsi="宋体" w:cs="宋体"/>
                <w:color w:val="000000"/>
                <w:kern w:val="0"/>
                <w:szCs w:val="21"/>
              </w:rPr>
              <w:t>粮油仓储单位违反《国有粮油仓储物流设施保护办法》规定，未及时备案，拒不改正的行为。</w:t>
            </w:r>
          </w:p>
        </w:tc>
        <w:tc>
          <w:tcPr>
            <w:tcW w:w="433"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kern w:val="0"/>
                <w:szCs w:val="21"/>
              </w:rPr>
            </w:pPr>
            <w:r>
              <w:rPr>
                <w:rFonts w:hint="eastAsia" w:ascii="宋体" w:hAnsi="宋体" w:cs="宋体"/>
                <w:color w:val="000000"/>
                <w:kern w:val="0"/>
                <w:szCs w:val="21"/>
              </w:rPr>
              <w:t>《国有粮油仓储物流设施保护办法》第六条第一款、第七条第二款、第八条第一款、第九条第一款</w:t>
            </w:r>
          </w:p>
        </w:tc>
        <w:tc>
          <w:tcPr>
            <w:tcW w:w="453"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kern w:val="0"/>
                <w:szCs w:val="21"/>
              </w:rPr>
            </w:pPr>
            <w:r>
              <w:rPr>
                <w:rFonts w:hint="eastAsia" w:ascii="宋体" w:hAnsi="宋体" w:cs="宋体"/>
                <w:color w:val="000000"/>
                <w:kern w:val="0"/>
                <w:szCs w:val="21"/>
              </w:rPr>
              <w:t>《国有粮油仓储物流设施保护办法》第二十三条第一款</w:t>
            </w:r>
          </w:p>
        </w:tc>
        <w:tc>
          <w:tcPr>
            <w:tcW w:w="861"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FF0000"/>
                <w:kern w:val="0"/>
                <w:szCs w:val="21"/>
              </w:rPr>
            </w:pPr>
            <w:r>
              <w:rPr>
                <w:rFonts w:hint="eastAsia" w:ascii="宋体" w:hAnsi="宋体" w:cs="宋体"/>
                <w:color w:val="000000"/>
                <w:kern w:val="0"/>
                <w:szCs w:val="21"/>
              </w:rPr>
              <w:t>粮油仓储单位违反《国有粮油仓储物流设施保护办法》规定，未及时备案，拒不改正的。</w:t>
            </w:r>
          </w:p>
        </w:tc>
        <w:tc>
          <w:tcPr>
            <w:tcW w:w="840" w:type="pct"/>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cs="宋体"/>
                <w:color w:val="FF0000"/>
                <w:kern w:val="0"/>
                <w:szCs w:val="21"/>
              </w:rPr>
            </w:pPr>
            <w:r>
              <w:rPr>
                <w:rFonts w:hint="eastAsia" w:ascii="宋体" w:hAnsi="宋体" w:cs="宋体"/>
                <w:color w:val="000000"/>
                <w:kern w:val="0"/>
                <w:szCs w:val="21"/>
              </w:rPr>
              <w:t>依法予以警告或者罚款。</w:t>
            </w:r>
          </w:p>
        </w:tc>
        <w:tc>
          <w:tcPr>
            <w:tcW w:w="3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rPr>
              <w:t>一般</w:t>
            </w:r>
          </w:p>
        </w:tc>
        <w:tc>
          <w:tcPr>
            <w:tcW w:w="33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rPr>
              <w:t>6个月</w:t>
            </w:r>
          </w:p>
        </w:tc>
        <w:tc>
          <w:tcPr>
            <w:tcW w:w="483"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kern w:val="0"/>
                <w:szCs w:val="21"/>
              </w:rPr>
            </w:pPr>
            <w:r>
              <w:rPr>
                <w:rFonts w:hint="eastAsia" w:ascii="宋体" w:hAnsi="宋体" w:cs="宋体"/>
                <w:color w:val="000000"/>
                <w:kern w:val="0"/>
                <w:szCs w:val="21"/>
              </w:rPr>
              <w:t>3个月</w:t>
            </w:r>
          </w:p>
        </w:tc>
      </w:tr>
    </w:tbl>
    <w:p>
      <w:pPr>
        <w:pStyle w:val="2"/>
        <w:ind w:firstLine="3200" w:firstLineChars="1000"/>
        <w:rPr>
          <w:rFonts w:hint="eastAsia" w:ascii="宋体" w:hAnsi="宋体" w:cs="宋体"/>
          <w:sz w:val="32"/>
          <w:szCs w:val="32"/>
        </w:rPr>
      </w:pPr>
    </w:p>
    <w:p>
      <w:pPr>
        <w:pStyle w:val="2"/>
        <w:ind w:firstLine="3200" w:firstLineChars="1000"/>
        <w:rPr>
          <w:rFonts w:hint="eastAsia" w:ascii="宋体" w:hAnsi="宋体" w:cs="宋体"/>
          <w:sz w:val="32"/>
          <w:szCs w:val="32"/>
        </w:rPr>
      </w:pPr>
    </w:p>
    <w:p>
      <w:pPr>
        <w:pStyle w:val="2"/>
        <w:ind w:firstLine="3200" w:firstLineChars="1000"/>
        <w:rPr>
          <w:rFonts w:hint="eastAsia" w:ascii="宋体" w:hAnsi="宋体" w:cs="宋体"/>
          <w:sz w:val="32"/>
          <w:szCs w:val="32"/>
        </w:rPr>
      </w:pPr>
    </w:p>
    <w:p>
      <w:pPr>
        <w:pStyle w:val="2"/>
        <w:ind w:firstLine="3200" w:firstLineChars="1000"/>
        <w:rPr>
          <w:rFonts w:hint="eastAsia" w:ascii="宋体" w:hAnsi="宋体" w:cs="宋体"/>
          <w:sz w:val="32"/>
          <w:szCs w:val="32"/>
        </w:rPr>
      </w:pPr>
    </w:p>
    <w:p>
      <w:pPr>
        <w:pStyle w:val="2"/>
        <w:ind w:firstLine="3200" w:firstLineChars="1000"/>
        <w:rPr>
          <w:rFonts w:hint="eastAsia" w:ascii="宋体" w:hAnsi="宋体" w:cs="宋体"/>
          <w:sz w:val="32"/>
          <w:szCs w:val="32"/>
        </w:rPr>
      </w:pPr>
    </w:p>
    <w:p>
      <w:pPr>
        <w:pStyle w:val="2"/>
        <w:ind w:firstLine="3200" w:firstLineChars="1000"/>
        <w:rPr>
          <w:rFonts w:hint="eastAsia" w:ascii="宋体" w:hAnsi="宋体" w:cs="宋体"/>
          <w:sz w:val="32"/>
          <w:szCs w:val="32"/>
        </w:rPr>
      </w:pPr>
    </w:p>
    <w:p>
      <w:pPr>
        <w:pStyle w:val="2"/>
        <w:ind w:firstLine="3200" w:firstLineChars="1000"/>
        <w:rPr>
          <w:rFonts w:hint="eastAsia" w:ascii="宋体" w:hAnsi="宋体" w:cs="宋体"/>
          <w:sz w:val="32"/>
          <w:szCs w:val="32"/>
        </w:rPr>
      </w:pPr>
    </w:p>
    <w:p>
      <w:pPr>
        <w:pStyle w:val="2"/>
        <w:ind w:left="0" w:leftChars="0" w:firstLine="0" w:firstLineChars="0"/>
        <w:rPr>
          <w:rFonts w:hint="eastAsia" w:ascii="宋体" w:hAnsi="宋体" w:cs="宋体"/>
          <w:sz w:val="32"/>
          <w:szCs w:val="32"/>
        </w:rPr>
      </w:pPr>
    </w:p>
    <w:p>
      <w:pPr>
        <w:pStyle w:val="2"/>
        <w:ind w:firstLine="3200" w:firstLineChars="1000"/>
        <w:rPr>
          <w:color w:val="auto"/>
        </w:rPr>
      </w:pPr>
      <w:r>
        <w:rPr>
          <w:rFonts w:hint="eastAsia" w:ascii="宋体" w:hAnsi="宋体" w:cs="宋体"/>
          <w:color w:val="auto"/>
          <w:sz w:val="32"/>
          <w:szCs w:val="32"/>
        </w:rPr>
        <w:t>政府粮食储备安全风险事项报告管理办法（试行）</w:t>
      </w:r>
    </w:p>
    <w:tbl>
      <w:tblPr>
        <w:tblStyle w:val="9"/>
        <w:tblpPr w:leftFromText="180" w:rightFromText="180" w:vertAnchor="text" w:horzAnchor="page" w:tblpX="1078" w:tblpY="553"/>
        <w:tblOverlap w:val="never"/>
        <w:tblW w:w="5287" w:type="pct"/>
        <w:tblInd w:w="0" w:type="dxa"/>
        <w:tblLayout w:type="fixed"/>
        <w:tblCellMar>
          <w:top w:w="0" w:type="dxa"/>
          <w:left w:w="108" w:type="dxa"/>
          <w:bottom w:w="0" w:type="dxa"/>
          <w:right w:w="108" w:type="dxa"/>
        </w:tblCellMar>
      </w:tblPr>
      <w:tblGrid>
        <w:gridCol w:w="549"/>
        <w:gridCol w:w="1208"/>
        <w:gridCol w:w="1639"/>
        <w:gridCol w:w="1757"/>
        <w:gridCol w:w="37"/>
        <w:gridCol w:w="1193"/>
        <w:gridCol w:w="2688"/>
        <w:gridCol w:w="2841"/>
        <w:gridCol w:w="879"/>
        <w:gridCol w:w="1010"/>
        <w:gridCol w:w="1187"/>
      </w:tblGrid>
      <w:tr>
        <w:tblPrEx>
          <w:tblCellMar>
            <w:top w:w="0" w:type="dxa"/>
            <w:left w:w="108" w:type="dxa"/>
            <w:bottom w:w="0" w:type="dxa"/>
            <w:right w:w="108" w:type="dxa"/>
          </w:tblCellMar>
        </w:tblPrEx>
        <w:trPr>
          <w:trHeight w:val="816" w:hRule="atLeast"/>
          <w:tblHeader/>
        </w:trPr>
        <w:tc>
          <w:tcPr>
            <w:tcW w:w="183"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序</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号</w:t>
            </w:r>
          </w:p>
        </w:tc>
        <w:tc>
          <w:tcPr>
            <w:tcW w:w="402"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裁量权</w:t>
            </w:r>
          </w:p>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基准编码</w:t>
            </w:r>
          </w:p>
        </w:tc>
        <w:tc>
          <w:tcPr>
            <w:tcW w:w="546"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违法行为</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名称</w:t>
            </w:r>
          </w:p>
        </w:tc>
        <w:tc>
          <w:tcPr>
            <w:tcW w:w="995" w:type="pct"/>
            <w:gridSpan w:val="3"/>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法律依据</w:t>
            </w:r>
          </w:p>
        </w:tc>
        <w:tc>
          <w:tcPr>
            <w:tcW w:w="896" w:type="pct"/>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具体违法情节</w:t>
            </w:r>
          </w:p>
        </w:tc>
        <w:tc>
          <w:tcPr>
            <w:tcW w:w="948" w:type="pct"/>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处罚裁量权基准</w:t>
            </w:r>
          </w:p>
        </w:tc>
        <w:tc>
          <w:tcPr>
            <w:tcW w:w="292"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违法</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行为</w:t>
            </w:r>
          </w:p>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分类</w:t>
            </w:r>
          </w:p>
        </w:tc>
        <w:tc>
          <w:tcPr>
            <w:tcW w:w="336"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处罚</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公示</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期限</w:t>
            </w:r>
          </w:p>
        </w:tc>
        <w:tc>
          <w:tcPr>
            <w:tcW w:w="395"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可以申</w:t>
            </w:r>
          </w:p>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请缩短</w:t>
            </w:r>
          </w:p>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公示期</w:t>
            </w:r>
          </w:p>
        </w:tc>
      </w:tr>
      <w:tr>
        <w:tblPrEx>
          <w:tblCellMar>
            <w:top w:w="0" w:type="dxa"/>
            <w:left w:w="108" w:type="dxa"/>
            <w:bottom w:w="0" w:type="dxa"/>
            <w:right w:w="108" w:type="dxa"/>
          </w:tblCellMar>
        </w:tblPrEx>
        <w:trPr>
          <w:trHeight w:val="837" w:hRule="atLeast"/>
          <w:tblHeader/>
        </w:trPr>
        <w:tc>
          <w:tcPr>
            <w:tcW w:w="183" w:type="pct"/>
            <w:vMerge w:val="continue"/>
            <w:tcBorders>
              <w:top w:val="nil"/>
              <w:left w:val="single" w:color="000000" w:sz="4" w:space="0"/>
              <w:bottom w:val="single" w:color="auto" w:sz="4" w:space="0"/>
              <w:right w:val="single" w:color="000000" w:sz="4" w:space="0"/>
            </w:tcBorders>
            <w:vAlign w:val="center"/>
          </w:tcPr>
          <w:p>
            <w:pPr>
              <w:jc w:val="center"/>
              <w:rPr>
                <w:rFonts w:ascii="CESI仿宋-GB2312" w:hAnsi="CESI仿宋-GB2312" w:eastAsia="CESI仿宋-GB2312" w:cs="CESI仿宋-GB2312"/>
                <w:color w:val="auto"/>
                <w:szCs w:val="21"/>
              </w:rPr>
            </w:pPr>
          </w:p>
        </w:tc>
        <w:tc>
          <w:tcPr>
            <w:tcW w:w="402" w:type="pct"/>
            <w:vMerge w:val="continue"/>
            <w:tcBorders>
              <w:top w:val="nil"/>
              <w:left w:val="single" w:color="000000" w:sz="4" w:space="0"/>
              <w:bottom w:val="single" w:color="auto" w:sz="4" w:space="0"/>
              <w:right w:val="single" w:color="000000" w:sz="4" w:space="0"/>
            </w:tcBorders>
            <w:vAlign w:val="center"/>
          </w:tcPr>
          <w:p>
            <w:pPr>
              <w:jc w:val="center"/>
              <w:rPr>
                <w:rFonts w:ascii="CESI仿宋-GB2312" w:hAnsi="CESI仿宋-GB2312" w:eastAsia="CESI仿宋-GB2312" w:cs="CESI仿宋-GB2312"/>
                <w:color w:val="auto"/>
                <w:szCs w:val="21"/>
              </w:rPr>
            </w:pPr>
          </w:p>
        </w:tc>
        <w:tc>
          <w:tcPr>
            <w:tcW w:w="546" w:type="pct"/>
            <w:vMerge w:val="continue"/>
            <w:tcBorders>
              <w:top w:val="nil"/>
              <w:left w:val="single" w:color="000000" w:sz="4" w:space="0"/>
              <w:bottom w:val="single" w:color="auto" w:sz="4" w:space="0"/>
              <w:right w:val="single" w:color="000000" w:sz="4" w:space="0"/>
            </w:tcBorders>
            <w:vAlign w:val="center"/>
          </w:tcPr>
          <w:p>
            <w:pPr>
              <w:jc w:val="center"/>
              <w:rPr>
                <w:rFonts w:ascii="CESI仿宋-GB2312" w:hAnsi="CESI仿宋-GB2312" w:eastAsia="CESI仿宋-GB2312" w:cs="CESI仿宋-GB2312"/>
                <w:color w:val="auto"/>
                <w:szCs w:val="21"/>
              </w:rPr>
            </w:pPr>
          </w:p>
        </w:tc>
        <w:tc>
          <w:tcPr>
            <w:tcW w:w="585" w:type="pct"/>
            <w:tcBorders>
              <w:top w:val="single" w:color="000000"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违法行为依据</w:t>
            </w:r>
          </w:p>
        </w:tc>
        <w:tc>
          <w:tcPr>
            <w:tcW w:w="409" w:type="pct"/>
            <w:gridSpan w:val="2"/>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处罚依据</w:t>
            </w:r>
          </w:p>
        </w:tc>
        <w:tc>
          <w:tcPr>
            <w:tcW w:w="896" w:type="pct"/>
            <w:vMerge w:val="continue"/>
            <w:tcBorders>
              <w:top w:val="nil"/>
              <w:left w:val="single" w:color="000000" w:sz="4" w:space="0"/>
              <w:bottom w:val="single" w:color="000000" w:sz="4" w:space="0"/>
              <w:right w:val="single" w:color="000000" w:sz="4" w:space="0"/>
            </w:tcBorders>
            <w:noWrap/>
            <w:vAlign w:val="center"/>
          </w:tcPr>
          <w:p>
            <w:pPr>
              <w:jc w:val="center"/>
              <w:rPr>
                <w:rFonts w:ascii="CESI仿宋-GB2312" w:hAnsi="CESI仿宋-GB2312" w:eastAsia="CESI仿宋-GB2312" w:cs="CESI仿宋-GB2312"/>
                <w:color w:val="auto"/>
                <w:szCs w:val="21"/>
              </w:rPr>
            </w:pPr>
          </w:p>
        </w:tc>
        <w:tc>
          <w:tcPr>
            <w:tcW w:w="948" w:type="pct"/>
            <w:vMerge w:val="continue"/>
            <w:tcBorders>
              <w:top w:val="nil"/>
              <w:left w:val="single" w:color="000000" w:sz="4" w:space="0"/>
              <w:bottom w:val="single" w:color="000000" w:sz="4" w:space="0"/>
              <w:right w:val="single" w:color="000000" w:sz="4" w:space="0"/>
            </w:tcBorders>
            <w:noWrap/>
            <w:vAlign w:val="center"/>
          </w:tcPr>
          <w:p>
            <w:pPr>
              <w:jc w:val="center"/>
              <w:rPr>
                <w:rFonts w:ascii="CESI仿宋-GB2312" w:hAnsi="CESI仿宋-GB2312" w:eastAsia="CESI仿宋-GB2312" w:cs="CESI仿宋-GB2312"/>
                <w:color w:val="auto"/>
                <w:szCs w:val="21"/>
              </w:rPr>
            </w:pPr>
          </w:p>
        </w:tc>
        <w:tc>
          <w:tcPr>
            <w:tcW w:w="292"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color w:val="auto"/>
                <w:szCs w:val="21"/>
              </w:rPr>
            </w:pPr>
          </w:p>
        </w:tc>
        <w:tc>
          <w:tcPr>
            <w:tcW w:w="336"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color w:val="auto"/>
                <w:szCs w:val="21"/>
              </w:rPr>
            </w:pPr>
          </w:p>
        </w:tc>
        <w:tc>
          <w:tcPr>
            <w:tcW w:w="395"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color w:val="auto"/>
                <w:szCs w:val="21"/>
              </w:rPr>
            </w:pPr>
          </w:p>
        </w:tc>
      </w:tr>
      <w:tr>
        <w:tblPrEx>
          <w:tblCellMar>
            <w:top w:w="0" w:type="dxa"/>
            <w:left w:w="108" w:type="dxa"/>
            <w:bottom w:w="0" w:type="dxa"/>
            <w:right w:w="108" w:type="dxa"/>
          </w:tblCellMar>
        </w:tblPrEx>
        <w:trPr>
          <w:trHeight w:val="2427" w:hRule="atLeast"/>
        </w:trPr>
        <w:tc>
          <w:tcPr>
            <w:tcW w:w="183"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37</w:t>
            </w:r>
          </w:p>
        </w:tc>
        <w:tc>
          <w:tcPr>
            <w:tcW w:w="402" w:type="pct"/>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C7402100 B010</w:t>
            </w:r>
          </w:p>
        </w:tc>
        <w:tc>
          <w:tcPr>
            <w:tcW w:w="546" w:type="pct"/>
            <w:vMerge w:val="restart"/>
            <w:tcBorders>
              <w:top w:val="single" w:color="auto" w:sz="4" w:space="0"/>
              <w:left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承储政府粮食储备的企业或者其他组织对应当报告的政府粮食储备安全风险事项不报告的行为。</w:t>
            </w:r>
          </w:p>
        </w:tc>
        <w:tc>
          <w:tcPr>
            <w:tcW w:w="585" w:type="pct"/>
            <w:vMerge w:val="restart"/>
            <w:tcBorders>
              <w:top w:val="single" w:color="auto" w:sz="4" w:space="0"/>
              <w:left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政府粮食储备安全风险事项报告管理办法（试行）》第七条、第八条、第九条、第十条、第十一条、第十二条</w:t>
            </w:r>
          </w:p>
        </w:tc>
        <w:tc>
          <w:tcPr>
            <w:tcW w:w="409" w:type="pct"/>
            <w:gridSpan w:val="2"/>
            <w:vMerge w:val="restart"/>
            <w:tcBorders>
              <w:top w:val="single" w:color="auto" w:sz="4" w:space="0"/>
              <w:left w:val="single" w:color="000000"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《政府粮食储备安全风险事项报告管理办法（试行）》第二十一条第一项、第二十二条</w:t>
            </w:r>
          </w:p>
        </w:tc>
        <w:tc>
          <w:tcPr>
            <w:tcW w:w="896" w:type="pct"/>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对应当报告的政府粮食储备安全风险事项不报告，且产生社会影响或者舆情的。</w:t>
            </w:r>
          </w:p>
        </w:tc>
        <w:tc>
          <w:tcPr>
            <w:tcW w:w="94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责令改正，给予警告、通报批评，并处1万元以上5万元以下罚款；对主要负责人、直接负责的主管人员和其他直接责任人员给予警告，并处1万元以下罚款。</w:t>
            </w:r>
          </w:p>
        </w:tc>
        <w:tc>
          <w:tcPr>
            <w:tcW w:w="29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一般</w:t>
            </w:r>
          </w:p>
        </w:tc>
        <w:tc>
          <w:tcPr>
            <w:tcW w:w="33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3个月</w:t>
            </w:r>
          </w:p>
        </w:tc>
      </w:tr>
      <w:tr>
        <w:tblPrEx>
          <w:tblCellMar>
            <w:top w:w="0" w:type="dxa"/>
            <w:left w:w="108" w:type="dxa"/>
            <w:bottom w:w="0" w:type="dxa"/>
            <w:right w:w="108" w:type="dxa"/>
          </w:tblCellMar>
        </w:tblPrEx>
        <w:trPr>
          <w:trHeight w:val="2547" w:hRule="atLeast"/>
        </w:trPr>
        <w:tc>
          <w:tcPr>
            <w:tcW w:w="183" w:type="pct"/>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rPr>
            </w:pPr>
          </w:p>
        </w:tc>
        <w:tc>
          <w:tcPr>
            <w:tcW w:w="402" w:type="pct"/>
            <w:tcBorders>
              <w:top w:val="single" w:color="000000"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C7402100 B020</w:t>
            </w:r>
          </w:p>
        </w:tc>
        <w:tc>
          <w:tcPr>
            <w:tcW w:w="546" w:type="pct"/>
            <w:vMerge w:val="continue"/>
            <w:tcBorders>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auto"/>
                <w:szCs w:val="21"/>
              </w:rPr>
            </w:pPr>
          </w:p>
        </w:tc>
        <w:tc>
          <w:tcPr>
            <w:tcW w:w="585" w:type="pct"/>
            <w:vMerge w:val="continue"/>
            <w:tcBorders>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auto"/>
                <w:szCs w:val="21"/>
              </w:rPr>
            </w:pPr>
          </w:p>
        </w:tc>
        <w:tc>
          <w:tcPr>
            <w:tcW w:w="409" w:type="pct"/>
            <w:gridSpan w:val="2"/>
            <w:vMerge w:val="continue"/>
            <w:tcBorders>
              <w:left w:val="single" w:color="000000"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p>
        </w:tc>
        <w:tc>
          <w:tcPr>
            <w:tcW w:w="896" w:type="pct"/>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对发生或者发现的政府粮食储备安全风险事项不按规定报告，造成应对处置迟延，产生粮食安全危害的。</w:t>
            </w:r>
          </w:p>
        </w:tc>
        <w:tc>
          <w:tcPr>
            <w:tcW w:w="94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责令改正，处5万元以上10万元以下罚款；对主要负责人、直接负责的主管人员和其他直接责任人员给予警告，并处1万元以上5万元以下罚款。</w:t>
            </w:r>
          </w:p>
        </w:tc>
        <w:tc>
          <w:tcPr>
            <w:tcW w:w="29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严重</w:t>
            </w:r>
          </w:p>
        </w:tc>
        <w:tc>
          <w:tcPr>
            <w:tcW w:w="33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3-6个月</w:t>
            </w:r>
          </w:p>
        </w:tc>
      </w:tr>
      <w:tr>
        <w:tblPrEx>
          <w:tblCellMar>
            <w:top w:w="0" w:type="dxa"/>
            <w:left w:w="108" w:type="dxa"/>
            <w:bottom w:w="0" w:type="dxa"/>
            <w:right w:w="108" w:type="dxa"/>
          </w:tblCellMar>
        </w:tblPrEx>
        <w:trPr>
          <w:trHeight w:val="411" w:hRule="atLeast"/>
          <w:tblHeader/>
        </w:trPr>
        <w:tc>
          <w:tcPr>
            <w:tcW w:w="183" w:type="pct"/>
            <w:vMerge w:val="restart"/>
            <w:tcBorders>
              <w:top w:val="single" w:color="auto"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序</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号</w:t>
            </w:r>
          </w:p>
        </w:tc>
        <w:tc>
          <w:tcPr>
            <w:tcW w:w="402"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裁量权</w:t>
            </w:r>
          </w:p>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基准编码</w:t>
            </w:r>
          </w:p>
        </w:tc>
        <w:tc>
          <w:tcPr>
            <w:tcW w:w="546"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违法行为</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名称</w:t>
            </w:r>
          </w:p>
        </w:tc>
        <w:tc>
          <w:tcPr>
            <w:tcW w:w="995" w:type="pct"/>
            <w:gridSpan w:val="3"/>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法律依据</w:t>
            </w:r>
          </w:p>
        </w:tc>
        <w:tc>
          <w:tcPr>
            <w:tcW w:w="896" w:type="pct"/>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具体违法情节</w:t>
            </w:r>
          </w:p>
        </w:tc>
        <w:tc>
          <w:tcPr>
            <w:tcW w:w="948" w:type="pct"/>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处罚裁量权基准</w:t>
            </w:r>
          </w:p>
        </w:tc>
        <w:tc>
          <w:tcPr>
            <w:tcW w:w="292"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违法</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行为</w:t>
            </w:r>
          </w:p>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分类</w:t>
            </w:r>
          </w:p>
        </w:tc>
        <w:tc>
          <w:tcPr>
            <w:tcW w:w="336"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处罚</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公示</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期限</w:t>
            </w:r>
          </w:p>
        </w:tc>
        <w:tc>
          <w:tcPr>
            <w:tcW w:w="395"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可以申</w:t>
            </w:r>
          </w:p>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请缩短</w:t>
            </w:r>
          </w:p>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公示期</w:t>
            </w:r>
          </w:p>
        </w:tc>
      </w:tr>
      <w:tr>
        <w:tblPrEx>
          <w:tblCellMar>
            <w:top w:w="0" w:type="dxa"/>
            <w:left w:w="108" w:type="dxa"/>
            <w:bottom w:w="0" w:type="dxa"/>
            <w:right w:w="108" w:type="dxa"/>
          </w:tblCellMar>
        </w:tblPrEx>
        <w:trPr>
          <w:trHeight w:val="614" w:hRule="atLeast"/>
          <w:tblHeader/>
        </w:trPr>
        <w:tc>
          <w:tcPr>
            <w:tcW w:w="183"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CESI仿宋-GB2312" w:hAnsi="CESI仿宋-GB2312" w:eastAsia="CESI仿宋-GB2312" w:cs="CESI仿宋-GB2312"/>
                <w:color w:val="auto"/>
                <w:szCs w:val="21"/>
              </w:rPr>
            </w:pPr>
          </w:p>
        </w:tc>
        <w:tc>
          <w:tcPr>
            <w:tcW w:w="402" w:type="pct"/>
            <w:vMerge w:val="continue"/>
            <w:tcBorders>
              <w:top w:val="nil"/>
              <w:left w:val="single" w:color="000000" w:sz="4" w:space="0"/>
              <w:bottom w:val="single" w:color="auto" w:sz="4" w:space="0"/>
              <w:right w:val="single" w:color="000000" w:sz="4" w:space="0"/>
            </w:tcBorders>
            <w:vAlign w:val="center"/>
          </w:tcPr>
          <w:p>
            <w:pPr>
              <w:jc w:val="left"/>
              <w:rPr>
                <w:rFonts w:ascii="CESI仿宋-GB2312" w:hAnsi="CESI仿宋-GB2312" w:eastAsia="CESI仿宋-GB2312" w:cs="CESI仿宋-GB2312"/>
                <w:color w:val="auto"/>
                <w:szCs w:val="21"/>
              </w:rPr>
            </w:pPr>
          </w:p>
        </w:tc>
        <w:tc>
          <w:tcPr>
            <w:tcW w:w="546" w:type="pct"/>
            <w:vMerge w:val="continue"/>
            <w:tcBorders>
              <w:top w:val="nil"/>
              <w:left w:val="single" w:color="000000" w:sz="4" w:space="0"/>
              <w:bottom w:val="single" w:color="auto" w:sz="4" w:space="0"/>
              <w:right w:val="single" w:color="000000" w:sz="4" w:space="0"/>
            </w:tcBorders>
            <w:vAlign w:val="center"/>
          </w:tcPr>
          <w:p>
            <w:pPr>
              <w:jc w:val="left"/>
              <w:rPr>
                <w:rFonts w:ascii="CESI仿宋-GB2312" w:hAnsi="CESI仿宋-GB2312" w:eastAsia="CESI仿宋-GB2312" w:cs="CESI仿宋-GB2312"/>
                <w:color w:val="auto"/>
                <w:szCs w:val="21"/>
              </w:rPr>
            </w:pPr>
          </w:p>
        </w:tc>
        <w:tc>
          <w:tcPr>
            <w:tcW w:w="585" w:type="pct"/>
            <w:tcBorders>
              <w:top w:val="single" w:color="000000"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违法行为依据</w:t>
            </w:r>
          </w:p>
        </w:tc>
        <w:tc>
          <w:tcPr>
            <w:tcW w:w="409" w:type="pct"/>
            <w:gridSpan w:val="2"/>
            <w:tcBorders>
              <w:top w:val="single" w:color="000000" w:sz="4" w:space="0"/>
              <w:left w:val="single" w:color="000000" w:sz="4" w:space="0"/>
              <w:bottom w:val="single" w:color="auto"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处罚依据</w:t>
            </w:r>
          </w:p>
        </w:tc>
        <w:tc>
          <w:tcPr>
            <w:tcW w:w="896" w:type="pct"/>
            <w:vMerge w:val="continue"/>
            <w:tcBorders>
              <w:top w:val="nil"/>
              <w:left w:val="single" w:color="000000" w:sz="4" w:space="0"/>
              <w:bottom w:val="single" w:color="000000" w:sz="4" w:space="0"/>
              <w:right w:val="single" w:color="000000" w:sz="4" w:space="0"/>
            </w:tcBorders>
            <w:noWrap/>
            <w:vAlign w:val="center"/>
          </w:tcPr>
          <w:p>
            <w:pPr>
              <w:jc w:val="left"/>
              <w:rPr>
                <w:rFonts w:ascii="CESI仿宋-GB2312" w:hAnsi="CESI仿宋-GB2312" w:eastAsia="CESI仿宋-GB2312" w:cs="CESI仿宋-GB2312"/>
                <w:color w:val="auto"/>
                <w:szCs w:val="21"/>
              </w:rPr>
            </w:pPr>
          </w:p>
        </w:tc>
        <w:tc>
          <w:tcPr>
            <w:tcW w:w="948" w:type="pct"/>
            <w:vMerge w:val="continue"/>
            <w:tcBorders>
              <w:top w:val="nil"/>
              <w:left w:val="single" w:color="000000" w:sz="4" w:space="0"/>
              <w:bottom w:val="single" w:color="000000" w:sz="4" w:space="0"/>
              <w:right w:val="single" w:color="000000" w:sz="4" w:space="0"/>
            </w:tcBorders>
            <w:noWrap/>
            <w:vAlign w:val="center"/>
          </w:tcPr>
          <w:p>
            <w:pPr>
              <w:jc w:val="left"/>
              <w:rPr>
                <w:rFonts w:ascii="CESI仿宋-GB2312" w:hAnsi="CESI仿宋-GB2312" w:eastAsia="CESI仿宋-GB2312" w:cs="CESI仿宋-GB2312"/>
                <w:color w:val="auto"/>
                <w:szCs w:val="21"/>
              </w:rPr>
            </w:pPr>
          </w:p>
        </w:tc>
        <w:tc>
          <w:tcPr>
            <w:tcW w:w="292" w:type="pct"/>
            <w:vMerge w:val="continue"/>
            <w:tcBorders>
              <w:top w:val="nil"/>
              <w:left w:val="single" w:color="000000" w:sz="4" w:space="0"/>
              <w:bottom w:val="single" w:color="000000" w:sz="4" w:space="0"/>
              <w:right w:val="single" w:color="000000" w:sz="4" w:space="0"/>
            </w:tcBorders>
            <w:vAlign w:val="center"/>
          </w:tcPr>
          <w:p>
            <w:pPr>
              <w:jc w:val="left"/>
              <w:rPr>
                <w:rFonts w:ascii="CESI仿宋-GB2312" w:hAnsi="CESI仿宋-GB2312" w:eastAsia="CESI仿宋-GB2312" w:cs="CESI仿宋-GB2312"/>
                <w:color w:val="auto"/>
                <w:szCs w:val="21"/>
              </w:rPr>
            </w:pPr>
          </w:p>
        </w:tc>
        <w:tc>
          <w:tcPr>
            <w:tcW w:w="336" w:type="pct"/>
            <w:vMerge w:val="continue"/>
            <w:tcBorders>
              <w:top w:val="nil"/>
              <w:left w:val="single" w:color="000000" w:sz="4" w:space="0"/>
              <w:bottom w:val="single" w:color="000000" w:sz="4" w:space="0"/>
              <w:right w:val="single" w:color="000000" w:sz="4" w:space="0"/>
            </w:tcBorders>
            <w:vAlign w:val="center"/>
          </w:tcPr>
          <w:p>
            <w:pPr>
              <w:jc w:val="left"/>
              <w:rPr>
                <w:rFonts w:ascii="CESI仿宋-GB2312" w:hAnsi="CESI仿宋-GB2312" w:eastAsia="CESI仿宋-GB2312" w:cs="CESI仿宋-GB2312"/>
                <w:color w:val="auto"/>
                <w:szCs w:val="21"/>
              </w:rPr>
            </w:pPr>
          </w:p>
        </w:tc>
        <w:tc>
          <w:tcPr>
            <w:tcW w:w="395" w:type="pct"/>
            <w:vMerge w:val="continue"/>
            <w:tcBorders>
              <w:top w:val="nil"/>
              <w:left w:val="single" w:color="000000" w:sz="4" w:space="0"/>
              <w:bottom w:val="single" w:color="000000" w:sz="4" w:space="0"/>
              <w:right w:val="single" w:color="000000" w:sz="4" w:space="0"/>
            </w:tcBorders>
            <w:vAlign w:val="center"/>
          </w:tcPr>
          <w:p>
            <w:pPr>
              <w:jc w:val="left"/>
              <w:rPr>
                <w:rFonts w:ascii="CESI仿宋-GB2312" w:hAnsi="CESI仿宋-GB2312" w:eastAsia="CESI仿宋-GB2312" w:cs="CESI仿宋-GB2312"/>
                <w:color w:val="auto"/>
                <w:szCs w:val="21"/>
              </w:rPr>
            </w:pPr>
          </w:p>
        </w:tc>
      </w:tr>
      <w:tr>
        <w:tblPrEx>
          <w:tblCellMar>
            <w:top w:w="0" w:type="dxa"/>
            <w:left w:w="108" w:type="dxa"/>
            <w:bottom w:w="0" w:type="dxa"/>
            <w:right w:w="108" w:type="dxa"/>
          </w:tblCellMar>
        </w:tblPrEx>
        <w:trPr>
          <w:trHeight w:val="3212" w:hRule="atLeast"/>
        </w:trPr>
        <w:tc>
          <w:tcPr>
            <w:tcW w:w="183" w:type="pct"/>
            <w:vMerge w:val="restart"/>
            <w:tcBorders>
              <w:top w:val="single" w:color="auto" w:sz="4" w:space="0"/>
              <w:left w:val="single" w:color="000000"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38</w:t>
            </w:r>
          </w:p>
        </w:tc>
        <w:tc>
          <w:tcPr>
            <w:tcW w:w="402" w:type="pct"/>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C7402000  B010</w:t>
            </w:r>
          </w:p>
        </w:tc>
        <w:tc>
          <w:tcPr>
            <w:tcW w:w="546"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color w:val="auto"/>
              </w:rPr>
            </w:pPr>
            <w:r>
              <w:rPr>
                <w:rFonts w:hint="eastAsia" w:ascii="宋体" w:hAnsi="宋体" w:cs="宋体"/>
                <w:color w:val="auto"/>
              </w:rPr>
              <w:t>承储政府粮食储备的企业或者其他组织对应当报告的政府粮食储备安全风险事项不按规定的报告内容报告的行为。</w:t>
            </w:r>
          </w:p>
          <w:p>
            <w:pPr>
              <w:widowControl/>
              <w:jc w:val="left"/>
              <w:textAlignment w:val="center"/>
              <w:rPr>
                <w:rFonts w:ascii="宋体" w:hAnsi="宋体" w:cs="宋体"/>
                <w:color w:val="auto"/>
                <w:szCs w:val="21"/>
              </w:rPr>
            </w:pPr>
          </w:p>
        </w:tc>
        <w:tc>
          <w:tcPr>
            <w:tcW w:w="585" w:type="pct"/>
            <w:vMerge w:val="restart"/>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《政府粮食储备安全风险事项报告管理办法（试行）》第十五条</w:t>
            </w:r>
          </w:p>
        </w:tc>
        <w:tc>
          <w:tcPr>
            <w:tcW w:w="409" w:type="pct"/>
            <w:gridSpan w:val="2"/>
            <w:vMerge w:val="restart"/>
            <w:tcBorders>
              <w:top w:val="single" w:color="auto" w:sz="4" w:space="0"/>
              <w:left w:val="single" w:color="000000"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《政府粮食储备安全风险事项报告管理办法（试行）》第二十一条第二项、第二十二条</w:t>
            </w:r>
          </w:p>
        </w:tc>
        <w:tc>
          <w:tcPr>
            <w:tcW w:w="896" w:type="pct"/>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对应当报告的政府粮食储备安全风险事项不按规定的报告内容报告，且产生社会影响或者舆情的。</w:t>
            </w:r>
          </w:p>
        </w:tc>
        <w:tc>
          <w:tcPr>
            <w:tcW w:w="948" w:type="pct"/>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rPr>
            </w:pPr>
            <w:r>
              <w:rPr>
                <w:rFonts w:hint="eastAsia" w:ascii="宋体" w:hAnsi="宋体" w:cs="宋体"/>
                <w:color w:val="auto"/>
              </w:rPr>
              <w:t>责令改正，给予警告、通报批评，并处1万元以上5万元以下罚款；对主要负责人、直接负责的主管人员和其他直接责任人员给予警告，并处1万元以下罚款。</w:t>
            </w:r>
          </w:p>
        </w:tc>
        <w:tc>
          <w:tcPr>
            <w:tcW w:w="29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一般</w:t>
            </w:r>
          </w:p>
        </w:tc>
        <w:tc>
          <w:tcPr>
            <w:tcW w:w="33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6个月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3个月</w:t>
            </w:r>
          </w:p>
        </w:tc>
      </w:tr>
      <w:tr>
        <w:tblPrEx>
          <w:tblCellMar>
            <w:top w:w="0" w:type="dxa"/>
            <w:left w:w="108" w:type="dxa"/>
            <w:bottom w:w="0" w:type="dxa"/>
            <w:right w:w="108" w:type="dxa"/>
          </w:tblCellMar>
        </w:tblPrEx>
        <w:trPr>
          <w:trHeight w:val="3774" w:hRule="atLeast"/>
        </w:trPr>
        <w:tc>
          <w:tcPr>
            <w:tcW w:w="183" w:type="pct"/>
            <w:vMerge w:val="continue"/>
            <w:tcBorders>
              <w:top w:val="single" w:color="auto" w:sz="4" w:space="0"/>
              <w:left w:val="single" w:color="000000"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rPr>
            </w:pPr>
          </w:p>
        </w:tc>
        <w:tc>
          <w:tcPr>
            <w:tcW w:w="402" w:type="pct"/>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C7402000  B020</w:t>
            </w:r>
          </w:p>
        </w:tc>
        <w:tc>
          <w:tcPr>
            <w:tcW w:w="546" w:type="pct"/>
            <w:vMerge w:val="continue"/>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auto"/>
                <w:szCs w:val="21"/>
              </w:rPr>
            </w:pPr>
          </w:p>
        </w:tc>
        <w:tc>
          <w:tcPr>
            <w:tcW w:w="585" w:type="pct"/>
            <w:vMerge w:val="continue"/>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color w:val="auto"/>
                <w:szCs w:val="21"/>
              </w:rPr>
            </w:pPr>
          </w:p>
        </w:tc>
        <w:tc>
          <w:tcPr>
            <w:tcW w:w="409" w:type="pct"/>
            <w:gridSpan w:val="2"/>
            <w:vMerge w:val="continue"/>
            <w:tcBorders>
              <w:top w:val="single" w:color="auto" w:sz="4" w:space="0"/>
              <w:left w:val="single" w:color="000000"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p>
        </w:tc>
        <w:tc>
          <w:tcPr>
            <w:tcW w:w="896" w:type="pct"/>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对发生或者发现的政府粮食储备安全风险事项不按规定报告，造成应对处置迟延，产生粮食安全危害的。</w:t>
            </w:r>
          </w:p>
        </w:tc>
        <w:tc>
          <w:tcPr>
            <w:tcW w:w="948" w:type="pct"/>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rPr>
            </w:pPr>
            <w:r>
              <w:rPr>
                <w:rFonts w:hint="eastAsia" w:ascii="宋体" w:hAnsi="宋体" w:cs="宋体"/>
                <w:color w:val="auto"/>
              </w:rPr>
              <w:t>责令改正，处5万元以上10万元以下罚款；对主要负责人、直接负责的主管人员和其他直接责任人员给予警告，并处1万元以上5万元以下罚款。</w:t>
            </w:r>
          </w:p>
        </w:tc>
        <w:tc>
          <w:tcPr>
            <w:tcW w:w="292"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严重</w:t>
            </w:r>
          </w:p>
        </w:tc>
        <w:tc>
          <w:tcPr>
            <w:tcW w:w="33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12个月</w:t>
            </w:r>
          </w:p>
        </w:tc>
        <w:tc>
          <w:tcPr>
            <w:tcW w:w="395"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3-6个月</w:t>
            </w:r>
          </w:p>
        </w:tc>
      </w:tr>
      <w:tr>
        <w:tblPrEx>
          <w:tblCellMar>
            <w:top w:w="0" w:type="dxa"/>
            <w:left w:w="108" w:type="dxa"/>
            <w:bottom w:w="0" w:type="dxa"/>
            <w:right w:w="108" w:type="dxa"/>
          </w:tblCellMar>
        </w:tblPrEx>
        <w:trPr>
          <w:trHeight w:val="451" w:hRule="atLeast"/>
          <w:tblHeader/>
        </w:trPr>
        <w:tc>
          <w:tcPr>
            <w:tcW w:w="183" w:type="pct"/>
            <w:vMerge w:val="restart"/>
            <w:tcBorders>
              <w:top w:val="single" w:color="auto"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序</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号</w:t>
            </w:r>
          </w:p>
        </w:tc>
        <w:tc>
          <w:tcPr>
            <w:tcW w:w="402"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裁量权</w:t>
            </w:r>
          </w:p>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基准编码</w:t>
            </w:r>
          </w:p>
        </w:tc>
        <w:tc>
          <w:tcPr>
            <w:tcW w:w="546"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违法行为</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名称</w:t>
            </w:r>
          </w:p>
        </w:tc>
        <w:tc>
          <w:tcPr>
            <w:tcW w:w="995" w:type="pct"/>
            <w:gridSpan w:val="3"/>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法律依据</w:t>
            </w:r>
          </w:p>
        </w:tc>
        <w:tc>
          <w:tcPr>
            <w:tcW w:w="896" w:type="pct"/>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具体违法情节</w:t>
            </w:r>
          </w:p>
        </w:tc>
        <w:tc>
          <w:tcPr>
            <w:tcW w:w="948" w:type="pct"/>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处罚裁量权基准</w:t>
            </w:r>
          </w:p>
        </w:tc>
        <w:tc>
          <w:tcPr>
            <w:tcW w:w="292"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违法</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行为</w:t>
            </w:r>
          </w:p>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分类</w:t>
            </w:r>
          </w:p>
        </w:tc>
        <w:tc>
          <w:tcPr>
            <w:tcW w:w="336"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处罚</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公示</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期限</w:t>
            </w:r>
          </w:p>
        </w:tc>
        <w:tc>
          <w:tcPr>
            <w:tcW w:w="395"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可以申</w:t>
            </w:r>
          </w:p>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请缩短</w:t>
            </w:r>
          </w:p>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公示期</w:t>
            </w:r>
          </w:p>
        </w:tc>
      </w:tr>
      <w:tr>
        <w:tblPrEx>
          <w:tblCellMar>
            <w:top w:w="0" w:type="dxa"/>
            <w:left w:w="108" w:type="dxa"/>
            <w:bottom w:w="0" w:type="dxa"/>
            <w:right w:w="108" w:type="dxa"/>
          </w:tblCellMar>
        </w:tblPrEx>
        <w:trPr>
          <w:trHeight w:val="544" w:hRule="atLeast"/>
          <w:tblHeader/>
        </w:trPr>
        <w:tc>
          <w:tcPr>
            <w:tcW w:w="183" w:type="pct"/>
            <w:vMerge w:val="continue"/>
            <w:tcBorders>
              <w:top w:val="single" w:color="auto" w:sz="4" w:space="0"/>
              <w:left w:val="single" w:color="000000" w:sz="4" w:space="0"/>
              <w:bottom w:val="single" w:color="auto" w:sz="4" w:space="0"/>
              <w:right w:val="single" w:color="000000" w:sz="4" w:space="0"/>
            </w:tcBorders>
            <w:vAlign w:val="center"/>
          </w:tcPr>
          <w:p>
            <w:pPr>
              <w:jc w:val="left"/>
              <w:rPr>
                <w:rFonts w:ascii="CESI仿宋-GB2312" w:hAnsi="CESI仿宋-GB2312" w:eastAsia="CESI仿宋-GB2312" w:cs="CESI仿宋-GB2312"/>
                <w:color w:val="auto"/>
                <w:szCs w:val="21"/>
              </w:rPr>
            </w:pPr>
          </w:p>
        </w:tc>
        <w:tc>
          <w:tcPr>
            <w:tcW w:w="402" w:type="pct"/>
            <w:vMerge w:val="continue"/>
            <w:tcBorders>
              <w:top w:val="nil"/>
              <w:left w:val="single" w:color="000000" w:sz="4" w:space="0"/>
              <w:bottom w:val="single" w:color="auto" w:sz="4" w:space="0"/>
              <w:right w:val="single" w:color="000000" w:sz="4" w:space="0"/>
            </w:tcBorders>
            <w:vAlign w:val="center"/>
          </w:tcPr>
          <w:p>
            <w:pPr>
              <w:jc w:val="left"/>
              <w:rPr>
                <w:rFonts w:ascii="CESI仿宋-GB2312" w:hAnsi="CESI仿宋-GB2312" w:eastAsia="CESI仿宋-GB2312" w:cs="CESI仿宋-GB2312"/>
                <w:color w:val="auto"/>
                <w:szCs w:val="21"/>
              </w:rPr>
            </w:pPr>
          </w:p>
        </w:tc>
        <w:tc>
          <w:tcPr>
            <w:tcW w:w="546" w:type="pct"/>
            <w:vMerge w:val="continue"/>
            <w:tcBorders>
              <w:top w:val="nil"/>
              <w:left w:val="single" w:color="000000" w:sz="4" w:space="0"/>
              <w:bottom w:val="single" w:color="auto" w:sz="4" w:space="0"/>
              <w:right w:val="single" w:color="000000" w:sz="4" w:space="0"/>
            </w:tcBorders>
            <w:vAlign w:val="center"/>
          </w:tcPr>
          <w:p>
            <w:pPr>
              <w:jc w:val="left"/>
              <w:rPr>
                <w:rFonts w:ascii="CESI仿宋-GB2312" w:hAnsi="CESI仿宋-GB2312" w:eastAsia="CESI仿宋-GB2312" w:cs="CESI仿宋-GB2312"/>
                <w:color w:val="auto"/>
                <w:szCs w:val="21"/>
              </w:rPr>
            </w:pPr>
          </w:p>
        </w:tc>
        <w:tc>
          <w:tcPr>
            <w:tcW w:w="597" w:type="pct"/>
            <w:gridSpan w:val="2"/>
            <w:tcBorders>
              <w:top w:val="single" w:color="000000" w:sz="4" w:space="0"/>
              <w:left w:val="single" w:color="000000" w:sz="4" w:space="0"/>
              <w:bottom w:val="single" w:color="auto"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违法行为依据</w:t>
            </w:r>
          </w:p>
        </w:tc>
        <w:tc>
          <w:tcPr>
            <w:tcW w:w="398" w:type="pct"/>
            <w:tcBorders>
              <w:top w:val="single" w:color="000000" w:sz="4" w:space="0"/>
              <w:left w:val="single" w:color="000000" w:sz="4" w:space="0"/>
              <w:bottom w:val="single" w:color="auto"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处罚依据</w:t>
            </w:r>
          </w:p>
        </w:tc>
        <w:tc>
          <w:tcPr>
            <w:tcW w:w="896" w:type="pct"/>
            <w:vMerge w:val="continue"/>
            <w:tcBorders>
              <w:top w:val="nil"/>
              <w:left w:val="single" w:color="000000" w:sz="4" w:space="0"/>
              <w:bottom w:val="single" w:color="auto" w:sz="4" w:space="0"/>
              <w:right w:val="single" w:color="000000" w:sz="4" w:space="0"/>
            </w:tcBorders>
            <w:noWrap/>
            <w:vAlign w:val="center"/>
          </w:tcPr>
          <w:p>
            <w:pPr>
              <w:jc w:val="left"/>
              <w:rPr>
                <w:rFonts w:ascii="CESI仿宋-GB2312" w:hAnsi="CESI仿宋-GB2312" w:eastAsia="CESI仿宋-GB2312" w:cs="CESI仿宋-GB2312"/>
                <w:color w:val="auto"/>
                <w:szCs w:val="21"/>
              </w:rPr>
            </w:pPr>
          </w:p>
        </w:tc>
        <w:tc>
          <w:tcPr>
            <w:tcW w:w="948" w:type="pct"/>
            <w:vMerge w:val="continue"/>
            <w:tcBorders>
              <w:top w:val="nil"/>
              <w:left w:val="single" w:color="000000" w:sz="4" w:space="0"/>
              <w:bottom w:val="single" w:color="auto" w:sz="4" w:space="0"/>
              <w:right w:val="single" w:color="000000" w:sz="4" w:space="0"/>
            </w:tcBorders>
            <w:noWrap/>
            <w:vAlign w:val="center"/>
          </w:tcPr>
          <w:p>
            <w:pPr>
              <w:jc w:val="left"/>
              <w:rPr>
                <w:rFonts w:ascii="CESI仿宋-GB2312" w:hAnsi="CESI仿宋-GB2312" w:eastAsia="CESI仿宋-GB2312" w:cs="CESI仿宋-GB2312"/>
                <w:color w:val="auto"/>
                <w:szCs w:val="21"/>
              </w:rPr>
            </w:pPr>
          </w:p>
        </w:tc>
        <w:tc>
          <w:tcPr>
            <w:tcW w:w="292" w:type="pct"/>
            <w:vMerge w:val="continue"/>
            <w:tcBorders>
              <w:top w:val="nil"/>
              <w:left w:val="single" w:color="000000" w:sz="4" w:space="0"/>
              <w:bottom w:val="single" w:color="auto" w:sz="4" w:space="0"/>
              <w:right w:val="single" w:color="000000" w:sz="4" w:space="0"/>
            </w:tcBorders>
            <w:vAlign w:val="center"/>
          </w:tcPr>
          <w:p>
            <w:pPr>
              <w:jc w:val="left"/>
              <w:rPr>
                <w:rFonts w:ascii="CESI仿宋-GB2312" w:hAnsi="CESI仿宋-GB2312" w:eastAsia="CESI仿宋-GB2312" w:cs="CESI仿宋-GB2312"/>
                <w:color w:val="auto"/>
                <w:szCs w:val="21"/>
              </w:rPr>
            </w:pPr>
          </w:p>
        </w:tc>
        <w:tc>
          <w:tcPr>
            <w:tcW w:w="336" w:type="pct"/>
            <w:vMerge w:val="continue"/>
            <w:tcBorders>
              <w:top w:val="nil"/>
              <w:left w:val="single" w:color="000000" w:sz="4" w:space="0"/>
              <w:bottom w:val="single" w:color="auto" w:sz="4" w:space="0"/>
              <w:right w:val="single" w:color="000000" w:sz="4" w:space="0"/>
            </w:tcBorders>
            <w:vAlign w:val="center"/>
          </w:tcPr>
          <w:p>
            <w:pPr>
              <w:jc w:val="left"/>
              <w:rPr>
                <w:rFonts w:ascii="CESI仿宋-GB2312" w:hAnsi="CESI仿宋-GB2312" w:eastAsia="CESI仿宋-GB2312" w:cs="CESI仿宋-GB2312"/>
                <w:color w:val="auto"/>
                <w:szCs w:val="21"/>
              </w:rPr>
            </w:pPr>
          </w:p>
        </w:tc>
        <w:tc>
          <w:tcPr>
            <w:tcW w:w="395" w:type="pct"/>
            <w:vMerge w:val="continue"/>
            <w:tcBorders>
              <w:top w:val="nil"/>
              <w:left w:val="single" w:color="000000" w:sz="4" w:space="0"/>
              <w:bottom w:val="single" w:color="auto" w:sz="4" w:space="0"/>
              <w:right w:val="single" w:color="000000" w:sz="4" w:space="0"/>
            </w:tcBorders>
            <w:vAlign w:val="center"/>
          </w:tcPr>
          <w:p>
            <w:pPr>
              <w:jc w:val="left"/>
              <w:rPr>
                <w:rFonts w:ascii="CESI仿宋-GB2312" w:hAnsi="CESI仿宋-GB2312" w:eastAsia="CESI仿宋-GB2312" w:cs="CESI仿宋-GB2312"/>
                <w:color w:val="auto"/>
                <w:szCs w:val="21"/>
              </w:rPr>
            </w:pPr>
          </w:p>
        </w:tc>
      </w:tr>
      <w:tr>
        <w:tblPrEx>
          <w:tblCellMar>
            <w:top w:w="0" w:type="dxa"/>
            <w:left w:w="108" w:type="dxa"/>
            <w:bottom w:w="0" w:type="dxa"/>
            <w:right w:w="108" w:type="dxa"/>
          </w:tblCellMar>
        </w:tblPrEx>
        <w:trPr>
          <w:trHeight w:val="2508" w:hRule="atLeast"/>
        </w:trPr>
        <w:tc>
          <w:tcPr>
            <w:tcW w:w="183" w:type="pct"/>
            <w:vMerge w:val="restart"/>
            <w:tcBorders>
              <w:top w:val="single" w:color="auto" w:sz="4" w:space="0"/>
              <w:left w:val="single" w:color="000000"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39</w:t>
            </w:r>
          </w:p>
        </w:tc>
        <w:tc>
          <w:tcPr>
            <w:tcW w:w="40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C7402300  B010</w:t>
            </w:r>
          </w:p>
        </w:tc>
        <w:tc>
          <w:tcPr>
            <w:tcW w:w="546" w:type="pct"/>
            <w:vMerge w:val="restart"/>
            <w:tcBorders>
              <w:top w:val="single" w:color="auto" w:sz="4" w:space="0"/>
              <w:left w:val="single" w:color="auto" w:sz="4" w:space="0"/>
              <w:right w:val="single" w:color="auto" w:sz="4" w:space="0"/>
            </w:tcBorders>
            <w:vAlign w:val="center"/>
          </w:tcPr>
          <w:p>
            <w:pPr>
              <w:widowControl/>
              <w:textAlignment w:val="center"/>
              <w:rPr>
                <w:rFonts w:ascii="宋体" w:hAnsi="宋体" w:cs="宋体"/>
                <w:color w:val="auto"/>
                <w:szCs w:val="21"/>
              </w:rPr>
            </w:pPr>
            <w:r>
              <w:rPr>
                <w:rFonts w:hint="eastAsia" w:ascii="宋体" w:hAnsi="宋体" w:cs="宋体"/>
                <w:color w:val="auto"/>
              </w:rPr>
              <w:t>承储政府粮食储备的企业或者其他组织对应当报告的政府粮食储备安全风险事项不按规定的报告时限报告的行为。</w:t>
            </w:r>
          </w:p>
        </w:tc>
        <w:tc>
          <w:tcPr>
            <w:tcW w:w="597" w:type="pct"/>
            <w:gridSpan w:val="2"/>
            <w:vMerge w:val="restart"/>
            <w:tcBorders>
              <w:top w:val="single" w:color="auto" w:sz="4" w:space="0"/>
              <w:left w:val="single" w:color="auto"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《政府粮食储备安全风险事项报告管理办法（试行）》第十四条</w:t>
            </w:r>
          </w:p>
        </w:tc>
        <w:tc>
          <w:tcPr>
            <w:tcW w:w="398" w:type="pct"/>
            <w:vMerge w:val="restart"/>
            <w:tcBorders>
              <w:top w:val="single" w:color="auto" w:sz="4" w:space="0"/>
              <w:left w:val="single" w:color="auto"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《政府粮食储备安全风险事项报告管理办法（试行）》第二十一条第三项、第二十二条</w:t>
            </w:r>
          </w:p>
        </w:tc>
        <w:tc>
          <w:tcPr>
            <w:tcW w:w="896"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在发生或者发现风险事项之日起5日内未向粮食和储备主管部门书面报告，并依权限及时消除风险。特别紧急的风险事项，未在风险事项发生或者发现后2小时内先通过电话或者其他适当方式向粮食和储备主管部门报告简要情况，且产生社会影响或者舆情的。</w:t>
            </w:r>
          </w:p>
        </w:tc>
        <w:tc>
          <w:tcPr>
            <w:tcW w:w="948"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rPr>
            </w:pPr>
            <w:r>
              <w:rPr>
                <w:rFonts w:hint="eastAsia" w:ascii="宋体" w:hAnsi="宋体" w:cs="宋体"/>
                <w:color w:val="auto"/>
              </w:rPr>
              <w:t>责令改正，给予警告、通报批评，并处1万元以上5万元以下罚款；对主要负责人、直接负责的主管人员和其他直接责任人员给予警告，并处1万元以下罚款。</w:t>
            </w:r>
          </w:p>
        </w:tc>
        <w:tc>
          <w:tcPr>
            <w:tcW w:w="292"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一般</w:t>
            </w:r>
          </w:p>
        </w:tc>
        <w:tc>
          <w:tcPr>
            <w:tcW w:w="336"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6个月</w:t>
            </w:r>
          </w:p>
        </w:tc>
        <w:tc>
          <w:tcPr>
            <w:tcW w:w="395"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3个月</w:t>
            </w:r>
          </w:p>
        </w:tc>
      </w:tr>
      <w:tr>
        <w:tblPrEx>
          <w:tblCellMar>
            <w:top w:w="0" w:type="dxa"/>
            <w:left w:w="108" w:type="dxa"/>
            <w:bottom w:w="0" w:type="dxa"/>
            <w:right w:w="108" w:type="dxa"/>
          </w:tblCellMar>
        </w:tblPrEx>
        <w:trPr>
          <w:trHeight w:val="2653" w:hRule="atLeast"/>
        </w:trPr>
        <w:tc>
          <w:tcPr>
            <w:tcW w:w="183" w:type="pct"/>
            <w:vMerge w:val="continue"/>
            <w:tcBorders>
              <w:top w:val="single" w:color="auto" w:sz="4" w:space="0"/>
              <w:left w:val="single" w:color="000000" w:sz="4" w:space="0"/>
              <w:bottom w:val="single" w:color="auto" w:sz="4" w:space="0"/>
              <w:right w:val="single" w:color="auto" w:sz="4" w:space="0"/>
            </w:tcBorders>
            <w:noWrap/>
            <w:vAlign w:val="center"/>
          </w:tcPr>
          <w:p>
            <w:pPr>
              <w:widowControl/>
              <w:jc w:val="center"/>
              <w:textAlignment w:val="center"/>
              <w:rPr>
                <w:rFonts w:ascii="宋体" w:hAnsi="宋体" w:cs="宋体"/>
                <w:color w:val="auto"/>
                <w:szCs w:val="21"/>
              </w:rPr>
            </w:pPr>
          </w:p>
        </w:tc>
        <w:tc>
          <w:tcPr>
            <w:tcW w:w="402"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C7402300  B020</w:t>
            </w:r>
          </w:p>
        </w:tc>
        <w:tc>
          <w:tcPr>
            <w:tcW w:w="546" w:type="pct"/>
            <w:vMerge w:val="continue"/>
            <w:tcBorders>
              <w:left w:val="single" w:color="auto" w:sz="4" w:space="0"/>
              <w:bottom w:val="single" w:color="auto" w:sz="4" w:space="0"/>
              <w:right w:val="single" w:color="auto" w:sz="4" w:space="0"/>
            </w:tcBorders>
          </w:tcPr>
          <w:p>
            <w:pPr>
              <w:widowControl/>
              <w:textAlignment w:val="center"/>
              <w:rPr>
                <w:rFonts w:ascii="宋体" w:hAnsi="宋体" w:cs="宋体"/>
                <w:color w:val="auto"/>
                <w:szCs w:val="21"/>
              </w:rPr>
            </w:pPr>
          </w:p>
        </w:tc>
        <w:tc>
          <w:tcPr>
            <w:tcW w:w="597" w:type="pct"/>
            <w:gridSpan w:val="2"/>
            <w:vMerge w:val="continue"/>
            <w:tcBorders>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p>
        </w:tc>
        <w:tc>
          <w:tcPr>
            <w:tcW w:w="398" w:type="pct"/>
            <w:vMerge w:val="continue"/>
            <w:tcBorders>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p>
        </w:tc>
        <w:tc>
          <w:tcPr>
            <w:tcW w:w="896" w:type="pct"/>
            <w:tcBorders>
              <w:top w:val="single" w:color="auto" w:sz="4" w:space="0"/>
              <w:left w:val="single" w:color="auto" w:sz="4" w:space="0"/>
              <w:bottom w:val="single" w:color="auto" w:sz="4" w:space="0"/>
              <w:right w:val="single" w:color="auto" w:sz="4" w:space="0"/>
            </w:tcBorders>
            <w:vAlign w:val="center"/>
          </w:tcPr>
          <w:p>
            <w:pPr>
              <w:widowControl/>
              <w:tabs>
                <w:tab w:val="left" w:pos="661"/>
              </w:tabs>
              <w:jc w:val="left"/>
              <w:textAlignment w:val="center"/>
              <w:rPr>
                <w:rFonts w:ascii="宋体" w:hAnsi="宋体" w:cs="宋体"/>
                <w:color w:val="auto"/>
                <w:szCs w:val="21"/>
              </w:rPr>
            </w:pPr>
            <w:r>
              <w:rPr>
                <w:rFonts w:hint="eastAsia" w:ascii="宋体" w:hAnsi="宋体" w:cs="宋体"/>
                <w:color w:val="auto"/>
              </w:rPr>
              <w:t>在发生或者发现风险事项之日起5日内未向粮食和储备主管部门书面报告，并依权限及时消除风险。特别紧急的风险事项，未在风险事项发生或者发现后2小时内先通过电话或者其他适当方式向粮食和储备主管部门报告简要情况，造成应对处置迟延，产生粮食安全危害的。</w:t>
            </w:r>
          </w:p>
        </w:tc>
        <w:tc>
          <w:tcPr>
            <w:tcW w:w="948"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责令改正，处5万元以上10万元以下罚款；对主要负责人、直接负责的主管人员和其他直接责任人员给予警告，并处1万元以上5万元以下罚款。</w:t>
            </w:r>
          </w:p>
        </w:tc>
        <w:tc>
          <w:tcPr>
            <w:tcW w:w="292"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严重</w:t>
            </w:r>
          </w:p>
        </w:tc>
        <w:tc>
          <w:tcPr>
            <w:tcW w:w="336"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12个月</w:t>
            </w:r>
          </w:p>
        </w:tc>
        <w:tc>
          <w:tcPr>
            <w:tcW w:w="395" w:type="pct"/>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3-6个月</w:t>
            </w:r>
          </w:p>
        </w:tc>
      </w:tr>
    </w:tbl>
    <w:p>
      <w:pPr>
        <w:spacing w:line="500" w:lineRule="exact"/>
        <w:jc w:val="left"/>
        <w:rPr>
          <w:rFonts w:ascii="CESI仿宋-GB2312" w:hAnsi="CESI仿宋-GB2312" w:eastAsia="CESI仿宋-GB2312" w:cs="CESI仿宋-GB2312"/>
          <w:b/>
          <w:color w:val="auto"/>
          <w:kern w:val="0"/>
          <w:sz w:val="24"/>
          <w:szCs w:val="24"/>
        </w:rPr>
      </w:pPr>
    </w:p>
    <w:p>
      <w:pPr>
        <w:pStyle w:val="2"/>
        <w:rPr>
          <w:color w:val="auto"/>
        </w:rPr>
      </w:pPr>
    </w:p>
    <w:tbl>
      <w:tblPr>
        <w:tblStyle w:val="9"/>
        <w:tblpPr w:leftFromText="180" w:rightFromText="180" w:vertAnchor="text" w:horzAnchor="page" w:tblpX="1099" w:tblpY="209"/>
        <w:tblOverlap w:val="never"/>
        <w:tblW w:w="5306" w:type="pct"/>
        <w:tblInd w:w="0" w:type="dxa"/>
        <w:tblLayout w:type="fixed"/>
        <w:tblCellMar>
          <w:top w:w="0" w:type="dxa"/>
          <w:left w:w="108" w:type="dxa"/>
          <w:bottom w:w="0" w:type="dxa"/>
          <w:right w:w="108" w:type="dxa"/>
        </w:tblCellMar>
      </w:tblPr>
      <w:tblGrid>
        <w:gridCol w:w="563"/>
        <w:gridCol w:w="1195"/>
        <w:gridCol w:w="1641"/>
        <w:gridCol w:w="1748"/>
        <w:gridCol w:w="1240"/>
        <w:gridCol w:w="2683"/>
        <w:gridCol w:w="2690"/>
        <w:gridCol w:w="846"/>
        <w:gridCol w:w="1094"/>
        <w:gridCol w:w="1342"/>
      </w:tblGrid>
      <w:tr>
        <w:tblPrEx>
          <w:tblCellMar>
            <w:top w:w="0" w:type="dxa"/>
            <w:left w:w="108" w:type="dxa"/>
            <w:bottom w:w="0" w:type="dxa"/>
            <w:right w:w="108" w:type="dxa"/>
          </w:tblCellMar>
        </w:tblPrEx>
        <w:trPr>
          <w:trHeight w:val="451" w:hRule="atLeast"/>
          <w:tblHeader/>
        </w:trPr>
        <w:tc>
          <w:tcPr>
            <w:tcW w:w="186"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序</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号</w:t>
            </w:r>
          </w:p>
        </w:tc>
        <w:tc>
          <w:tcPr>
            <w:tcW w:w="396"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裁量权</w:t>
            </w:r>
          </w:p>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基准编码</w:t>
            </w:r>
          </w:p>
        </w:tc>
        <w:tc>
          <w:tcPr>
            <w:tcW w:w="546"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违法行为</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名称</w:t>
            </w:r>
          </w:p>
        </w:tc>
        <w:tc>
          <w:tcPr>
            <w:tcW w:w="993" w:type="pct"/>
            <w:gridSpan w:val="2"/>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法律依据</w:t>
            </w:r>
          </w:p>
        </w:tc>
        <w:tc>
          <w:tcPr>
            <w:tcW w:w="891" w:type="pct"/>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具体违法情节</w:t>
            </w:r>
          </w:p>
        </w:tc>
        <w:tc>
          <w:tcPr>
            <w:tcW w:w="894" w:type="pct"/>
            <w:vMerge w:val="restart"/>
            <w:tcBorders>
              <w:top w:val="single" w:color="auto"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处罚裁量权基准</w:t>
            </w:r>
          </w:p>
        </w:tc>
        <w:tc>
          <w:tcPr>
            <w:tcW w:w="281"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违法</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行为</w:t>
            </w:r>
          </w:p>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分类</w:t>
            </w:r>
          </w:p>
        </w:tc>
        <w:tc>
          <w:tcPr>
            <w:tcW w:w="364"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处罚</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公示</w:t>
            </w:r>
            <w:r>
              <w:rPr>
                <w:rFonts w:hint="eastAsia" w:ascii="CESI仿宋-GB2312" w:hAnsi="CESI仿宋-GB2312" w:eastAsia="CESI仿宋-GB2312" w:cs="CESI仿宋-GB2312"/>
                <w:b/>
                <w:bCs/>
                <w:color w:val="auto"/>
                <w:kern w:val="0"/>
                <w:sz w:val="24"/>
                <w:szCs w:val="24"/>
              </w:rPr>
              <w:br w:type="textWrapping"/>
            </w:r>
            <w:r>
              <w:rPr>
                <w:rFonts w:hint="eastAsia" w:ascii="CESI仿宋-GB2312" w:hAnsi="CESI仿宋-GB2312" w:eastAsia="CESI仿宋-GB2312" w:cs="CESI仿宋-GB2312"/>
                <w:b/>
                <w:bCs/>
                <w:color w:val="auto"/>
                <w:kern w:val="0"/>
                <w:sz w:val="24"/>
                <w:szCs w:val="24"/>
              </w:rPr>
              <w:t>期限</w:t>
            </w:r>
          </w:p>
        </w:tc>
        <w:tc>
          <w:tcPr>
            <w:tcW w:w="445" w:type="pct"/>
            <w:vMerge w:val="restart"/>
            <w:tcBorders>
              <w:top w:val="single" w:color="auto"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可以申</w:t>
            </w:r>
          </w:p>
          <w:p>
            <w:pPr>
              <w:widowControl/>
              <w:spacing w:line="360" w:lineRule="exact"/>
              <w:jc w:val="center"/>
              <w:textAlignment w:val="center"/>
              <w:rPr>
                <w:rFonts w:ascii="CESI仿宋-GB2312" w:hAnsi="CESI仿宋-GB2312" w:eastAsia="CESI仿宋-GB2312" w:cs="CESI仿宋-GB2312"/>
                <w:b/>
                <w:bCs/>
                <w:color w:val="auto"/>
                <w:kern w:val="0"/>
                <w:sz w:val="24"/>
                <w:szCs w:val="24"/>
              </w:rPr>
            </w:pPr>
            <w:r>
              <w:rPr>
                <w:rFonts w:hint="eastAsia" w:ascii="CESI仿宋-GB2312" w:hAnsi="CESI仿宋-GB2312" w:eastAsia="CESI仿宋-GB2312" w:cs="CESI仿宋-GB2312"/>
                <w:b/>
                <w:bCs/>
                <w:color w:val="auto"/>
                <w:kern w:val="0"/>
                <w:sz w:val="24"/>
                <w:szCs w:val="24"/>
              </w:rPr>
              <w:t>请缩短</w:t>
            </w:r>
          </w:p>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公示期</w:t>
            </w:r>
          </w:p>
        </w:tc>
      </w:tr>
      <w:tr>
        <w:tblPrEx>
          <w:tblCellMar>
            <w:top w:w="0" w:type="dxa"/>
            <w:left w:w="108" w:type="dxa"/>
            <w:bottom w:w="0" w:type="dxa"/>
            <w:right w:w="108" w:type="dxa"/>
          </w:tblCellMar>
        </w:tblPrEx>
        <w:trPr>
          <w:trHeight w:val="495" w:hRule="atLeast"/>
          <w:tblHeader/>
        </w:trPr>
        <w:tc>
          <w:tcPr>
            <w:tcW w:w="186"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color w:val="auto"/>
                <w:szCs w:val="21"/>
              </w:rPr>
            </w:pPr>
          </w:p>
        </w:tc>
        <w:tc>
          <w:tcPr>
            <w:tcW w:w="396"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color w:val="auto"/>
                <w:szCs w:val="21"/>
              </w:rPr>
            </w:pPr>
          </w:p>
        </w:tc>
        <w:tc>
          <w:tcPr>
            <w:tcW w:w="546"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color w:val="auto"/>
                <w:szCs w:val="21"/>
              </w:rPr>
            </w:pPr>
          </w:p>
        </w:tc>
        <w:tc>
          <w:tcPr>
            <w:tcW w:w="58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违法行为依据</w:t>
            </w:r>
          </w:p>
        </w:tc>
        <w:tc>
          <w:tcPr>
            <w:tcW w:w="41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CESI仿宋-GB2312" w:hAnsi="CESI仿宋-GB2312" w:eastAsia="CESI仿宋-GB2312" w:cs="CESI仿宋-GB2312"/>
                <w:b/>
                <w:bCs/>
                <w:color w:val="auto"/>
                <w:sz w:val="24"/>
                <w:szCs w:val="24"/>
              </w:rPr>
            </w:pPr>
            <w:r>
              <w:rPr>
                <w:rFonts w:hint="eastAsia" w:ascii="CESI仿宋-GB2312" w:hAnsi="CESI仿宋-GB2312" w:eastAsia="CESI仿宋-GB2312" w:cs="CESI仿宋-GB2312"/>
                <w:b/>
                <w:bCs/>
                <w:color w:val="auto"/>
                <w:kern w:val="0"/>
                <w:sz w:val="24"/>
                <w:szCs w:val="24"/>
              </w:rPr>
              <w:t>处罚依据</w:t>
            </w:r>
          </w:p>
        </w:tc>
        <w:tc>
          <w:tcPr>
            <w:tcW w:w="891" w:type="pct"/>
            <w:vMerge w:val="continue"/>
            <w:tcBorders>
              <w:top w:val="nil"/>
              <w:left w:val="single" w:color="000000" w:sz="4" w:space="0"/>
              <w:bottom w:val="single" w:color="000000" w:sz="4" w:space="0"/>
              <w:right w:val="single" w:color="000000" w:sz="4" w:space="0"/>
            </w:tcBorders>
            <w:noWrap/>
            <w:vAlign w:val="center"/>
          </w:tcPr>
          <w:p>
            <w:pPr>
              <w:jc w:val="center"/>
              <w:rPr>
                <w:rFonts w:ascii="CESI仿宋-GB2312" w:hAnsi="CESI仿宋-GB2312" w:eastAsia="CESI仿宋-GB2312" w:cs="CESI仿宋-GB2312"/>
                <w:color w:val="auto"/>
                <w:szCs w:val="21"/>
              </w:rPr>
            </w:pPr>
          </w:p>
        </w:tc>
        <w:tc>
          <w:tcPr>
            <w:tcW w:w="894" w:type="pct"/>
            <w:vMerge w:val="continue"/>
            <w:tcBorders>
              <w:top w:val="nil"/>
              <w:left w:val="single" w:color="000000" w:sz="4" w:space="0"/>
              <w:bottom w:val="single" w:color="000000" w:sz="4" w:space="0"/>
              <w:right w:val="single" w:color="000000" w:sz="4" w:space="0"/>
            </w:tcBorders>
            <w:noWrap/>
            <w:vAlign w:val="center"/>
          </w:tcPr>
          <w:p>
            <w:pPr>
              <w:jc w:val="center"/>
              <w:rPr>
                <w:rFonts w:ascii="CESI仿宋-GB2312" w:hAnsi="CESI仿宋-GB2312" w:eastAsia="CESI仿宋-GB2312" w:cs="CESI仿宋-GB2312"/>
                <w:color w:val="auto"/>
                <w:szCs w:val="21"/>
              </w:rPr>
            </w:pPr>
          </w:p>
        </w:tc>
        <w:tc>
          <w:tcPr>
            <w:tcW w:w="281"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color w:val="auto"/>
                <w:szCs w:val="21"/>
              </w:rPr>
            </w:pPr>
          </w:p>
        </w:tc>
        <w:tc>
          <w:tcPr>
            <w:tcW w:w="364"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color w:val="auto"/>
                <w:szCs w:val="21"/>
              </w:rPr>
            </w:pPr>
          </w:p>
        </w:tc>
        <w:tc>
          <w:tcPr>
            <w:tcW w:w="445" w:type="pct"/>
            <w:vMerge w:val="continue"/>
            <w:tcBorders>
              <w:top w:val="nil"/>
              <w:left w:val="single" w:color="000000" w:sz="4" w:space="0"/>
              <w:bottom w:val="single" w:color="000000" w:sz="4" w:space="0"/>
              <w:right w:val="single" w:color="000000" w:sz="4" w:space="0"/>
            </w:tcBorders>
            <w:vAlign w:val="center"/>
          </w:tcPr>
          <w:p>
            <w:pPr>
              <w:jc w:val="center"/>
              <w:rPr>
                <w:rFonts w:ascii="CESI仿宋-GB2312" w:hAnsi="CESI仿宋-GB2312" w:eastAsia="CESI仿宋-GB2312" w:cs="CESI仿宋-GB2312"/>
                <w:color w:val="auto"/>
                <w:szCs w:val="21"/>
              </w:rPr>
            </w:pPr>
          </w:p>
        </w:tc>
      </w:tr>
      <w:tr>
        <w:tblPrEx>
          <w:tblCellMar>
            <w:top w:w="0" w:type="dxa"/>
            <w:left w:w="108" w:type="dxa"/>
            <w:bottom w:w="0" w:type="dxa"/>
            <w:right w:w="108" w:type="dxa"/>
          </w:tblCellMar>
        </w:tblPrEx>
        <w:trPr>
          <w:trHeight w:val="2504" w:hRule="atLeast"/>
        </w:trPr>
        <w:tc>
          <w:tcPr>
            <w:tcW w:w="186" w:type="pct"/>
            <w:vMerge w:val="restart"/>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color w:val="auto"/>
                <w:szCs w:val="21"/>
              </w:rPr>
            </w:pPr>
            <w:r>
              <w:rPr>
                <w:rFonts w:hint="eastAsia" w:ascii="宋体" w:hAnsi="宋体" w:cs="宋体"/>
                <w:color w:val="auto"/>
                <w:szCs w:val="21"/>
              </w:rPr>
              <w:t>40</w:t>
            </w:r>
          </w:p>
        </w:tc>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C7402200  B010</w:t>
            </w:r>
          </w:p>
        </w:tc>
        <w:tc>
          <w:tcPr>
            <w:tcW w:w="546" w:type="pct"/>
            <w:vMerge w:val="restar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rPr>
              <w:t>承储政府粮食储备的企业或者其他组织其他未按规定报告政府粮食储备安全风险事项的行为。</w:t>
            </w:r>
          </w:p>
        </w:tc>
        <w:tc>
          <w:tcPr>
            <w:tcW w:w="581" w:type="pct"/>
            <w:vMerge w:val="restar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rPr>
              <w:t>《政府粮食储备安全风险事项报告管理办法（试行）》第二十一条第四项</w:t>
            </w:r>
          </w:p>
        </w:tc>
        <w:tc>
          <w:tcPr>
            <w:tcW w:w="411" w:type="pct"/>
            <w:vMerge w:val="restar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rPr>
              <w:t>《政府粮食储备安全风险事项报告管理办法（试行）》第二十一条第四项、第二十二条</w:t>
            </w:r>
          </w:p>
        </w:tc>
        <w:tc>
          <w:tcPr>
            <w:tcW w:w="89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其他未按规定报告政府粮食储备安全风险事项的，且产生社会影响或者舆情的。</w:t>
            </w:r>
          </w:p>
        </w:tc>
        <w:tc>
          <w:tcPr>
            <w:tcW w:w="894" w:type="pct"/>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color w:val="auto"/>
                <w:szCs w:val="21"/>
              </w:rPr>
            </w:pPr>
            <w:r>
              <w:rPr>
                <w:rFonts w:hint="eastAsia" w:ascii="宋体" w:hAnsi="宋体" w:cs="宋体"/>
                <w:color w:val="auto"/>
              </w:rPr>
              <w:t>责令改正，给予警告、通报批评，并处1万元以上5万元以下罚款；对主要负责人、直接负责的主管人员和其他直接责任人员给予警告，并处1万元以下罚款。</w:t>
            </w:r>
          </w:p>
        </w:tc>
        <w:tc>
          <w:tcPr>
            <w:tcW w:w="2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一般</w:t>
            </w:r>
          </w:p>
        </w:tc>
        <w:tc>
          <w:tcPr>
            <w:tcW w:w="36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6个月</w:t>
            </w:r>
          </w:p>
        </w:tc>
        <w:tc>
          <w:tcPr>
            <w:tcW w:w="44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3个月</w:t>
            </w:r>
          </w:p>
        </w:tc>
      </w:tr>
      <w:tr>
        <w:tblPrEx>
          <w:tblCellMar>
            <w:top w:w="0" w:type="dxa"/>
            <w:left w:w="108" w:type="dxa"/>
            <w:bottom w:w="0" w:type="dxa"/>
            <w:right w:w="108" w:type="dxa"/>
          </w:tblCellMar>
        </w:tblPrEx>
        <w:trPr>
          <w:trHeight w:val="2326" w:hRule="atLeast"/>
        </w:trPr>
        <w:tc>
          <w:tcPr>
            <w:tcW w:w="186" w:type="pct"/>
            <w:vMerge w:val="continue"/>
            <w:tcBorders>
              <w:top w:val="single" w:color="auto"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cs="宋体"/>
                <w:color w:val="auto"/>
                <w:szCs w:val="21"/>
              </w:rPr>
            </w:pPr>
          </w:p>
        </w:tc>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szCs w:val="21"/>
              </w:rPr>
              <w:t>C7402200  B020</w:t>
            </w:r>
          </w:p>
        </w:tc>
        <w:tc>
          <w:tcPr>
            <w:tcW w:w="546"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auto"/>
                <w:szCs w:val="21"/>
              </w:rPr>
            </w:pPr>
          </w:p>
        </w:tc>
        <w:tc>
          <w:tcPr>
            <w:tcW w:w="581"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auto"/>
                <w:szCs w:val="21"/>
              </w:rPr>
            </w:pPr>
          </w:p>
        </w:tc>
        <w:tc>
          <w:tcPr>
            <w:tcW w:w="411" w:type="pct"/>
            <w:vMerge w:val="continue"/>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color w:val="auto"/>
                <w:szCs w:val="21"/>
              </w:rPr>
            </w:pPr>
          </w:p>
        </w:tc>
        <w:tc>
          <w:tcPr>
            <w:tcW w:w="891"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对发生或者发现的政府粮食储备安全风险事项不按规定报告，造成应对处置迟延，产生粮食安全危害的。</w:t>
            </w:r>
          </w:p>
        </w:tc>
        <w:tc>
          <w:tcPr>
            <w:tcW w:w="89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rPr>
              <w:t>责令改正，处5万元以上10万元以下罚款；对主要负责人、直接负责的主管人员和其他直接责任人员给予警告，并处1万元以上5万元以下罚款。</w:t>
            </w:r>
          </w:p>
        </w:tc>
        <w:tc>
          <w:tcPr>
            <w:tcW w:w="2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严重</w:t>
            </w:r>
          </w:p>
        </w:tc>
        <w:tc>
          <w:tcPr>
            <w:tcW w:w="36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12个月</w:t>
            </w:r>
          </w:p>
        </w:tc>
        <w:tc>
          <w:tcPr>
            <w:tcW w:w="44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3-6个月</w:t>
            </w:r>
          </w:p>
        </w:tc>
      </w:tr>
    </w:tbl>
    <w:p>
      <w:pPr>
        <w:spacing w:line="500" w:lineRule="exact"/>
        <w:jc w:val="left"/>
        <w:rPr>
          <w:rFonts w:ascii="CESI仿宋-GB2312" w:hAnsi="CESI仿宋-GB2312" w:eastAsia="CESI仿宋-GB2312" w:cs="CESI仿宋-GB2312"/>
          <w:b/>
          <w:color w:val="000000"/>
          <w:kern w:val="0"/>
          <w:sz w:val="24"/>
          <w:szCs w:val="24"/>
        </w:rPr>
      </w:pPr>
    </w:p>
    <w:p>
      <w:pPr>
        <w:spacing w:line="500" w:lineRule="exact"/>
        <w:jc w:val="left"/>
      </w:pPr>
      <w:r>
        <w:rPr>
          <w:rFonts w:hint="eastAsia" w:ascii="CESI仿宋-GB2312" w:hAnsi="CESI仿宋-GB2312" w:eastAsia="CESI仿宋-GB2312" w:cs="CESI仿宋-GB2312"/>
          <w:b/>
          <w:color w:val="000000"/>
          <w:kern w:val="0"/>
          <w:sz w:val="24"/>
          <w:szCs w:val="24"/>
        </w:rPr>
        <w:t>注：本基准中涉及“以上”的除第一阶包含所述罚款数额本数外，其余均不包含所述罚款数额本数。“以下”均包含所述罚款数额本数。违法涉案粮食货值，按其违法行为发生地当月的市场平均价格计算。相关制度另有规定的，从其规定。</w:t>
      </w:r>
    </w:p>
    <w:p>
      <w:pPr>
        <w:pStyle w:val="12"/>
        <w:spacing w:after="0"/>
        <w:ind w:left="0" w:leftChars="0" w:firstLine="0" w:firstLineChars="0"/>
        <w:rPr>
          <w:rFonts w:hint="eastAsia"/>
          <w:lang w:val="en-US" w:eastAsia="zh-CN"/>
        </w:rPr>
        <w:sectPr>
          <w:headerReference r:id="rId5" w:type="default"/>
          <w:footerReference r:id="rId7" w:type="default"/>
          <w:headerReference r:id="rId6" w:type="even"/>
          <w:footerReference r:id="rId8" w:type="even"/>
          <w:pgSz w:w="16838" w:h="11906" w:orient="landscape"/>
          <w:pgMar w:top="1803" w:right="1440" w:bottom="1803" w:left="1440" w:header="851" w:footer="992" w:gutter="0"/>
          <w:pgNumType w:fmt="numberInDash"/>
          <w:cols w:space="0" w:num="1"/>
          <w:rtlGutter w:val="0"/>
          <w:docGrid w:type="lines" w:linePitch="312" w:charSpace="0"/>
        </w:sectPr>
      </w:pPr>
    </w:p>
    <w:p>
      <w:pPr>
        <w:pStyle w:val="12"/>
        <w:spacing w:after="0"/>
        <w:ind w:left="0" w:leftChars="0" w:firstLine="0" w:firstLineChars="0"/>
        <w:rPr>
          <w:rFonts w:hint="eastAsia"/>
          <w:lang w:val="en-US" w:eastAsia="zh-CN"/>
        </w:rPr>
      </w:pPr>
    </w:p>
    <w:p>
      <w:pPr>
        <w:pStyle w:val="12"/>
        <w:spacing w:after="0"/>
        <w:ind w:left="0" w:leftChars="0" w:firstLine="0" w:firstLineChars="0"/>
        <w:rPr>
          <w:rFonts w:hint="eastAsia"/>
          <w:lang w:val="en-US" w:eastAsia="zh-CN"/>
        </w:rPr>
      </w:pPr>
    </w:p>
    <w:p>
      <w:pPr>
        <w:pStyle w:val="12"/>
        <w:spacing w:after="0"/>
        <w:ind w:left="0" w:leftChars="0" w:firstLine="0" w:firstLineChars="0"/>
        <w:rPr>
          <w:rFonts w:hint="eastAsia"/>
          <w:lang w:val="en-US" w:eastAsia="zh-CN"/>
        </w:rPr>
      </w:pPr>
    </w:p>
    <w:p>
      <w:pPr>
        <w:pStyle w:val="12"/>
        <w:spacing w:after="0"/>
        <w:ind w:left="0" w:leftChars="0" w:firstLine="0" w:firstLineChars="0"/>
        <w:rPr>
          <w:rFonts w:hint="eastAsia"/>
          <w:lang w:val="en-US" w:eastAsia="zh-CN"/>
        </w:rPr>
      </w:pPr>
    </w:p>
    <w:p>
      <w:pPr>
        <w:pStyle w:val="12"/>
        <w:spacing w:after="0"/>
        <w:ind w:left="0" w:leftChars="0" w:firstLine="0" w:firstLineChars="0"/>
        <w:rPr>
          <w:rFonts w:hint="eastAsia"/>
          <w:lang w:val="en-US" w:eastAsia="zh-CN"/>
        </w:rPr>
      </w:pPr>
    </w:p>
    <w:p>
      <w:pPr>
        <w:pStyle w:val="12"/>
        <w:spacing w:after="0"/>
        <w:ind w:left="0" w:leftChars="0" w:firstLine="0" w:firstLineChars="0"/>
        <w:rPr>
          <w:rFonts w:hint="eastAsia"/>
          <w:lang w:val="en-US" w:eastAsia="zh-CN"/>
        </w:rPr>
      </w:pPr>
    </w:p>
    <w:p>
      <w:pPr>
        <w:pStyle w:val="12"/>
        <w:spacing w:after="0"/>
        <w:ind w:left="0" w:leftChars="0" w:firstLine="0" w:firstLineChars="0"/>
        <w:rPr>
          <w:rFonts w:hint="eastAsia"/>
          <w:lang w:val="en-US" w:eastAsia="zh-CN"/>
        </w:rPr>
      </w:pPr>
    </w:p>
    <w:p>
      <w:pPr>
        <w:pStyle w:val="12"/>
        <w:spacing w:after="0"/>
        <w:ind w:left="0" w:leftChars="0" w:firstLine="0" w:firstLineChars="0"/>
        <w:rPr>
          <w:rFonts w:hint="eastAsia"/>
          <w:lang w:val="en-US" w:eastAsia="zh-CN"/>
        </w:rPr>
      </w:pPr>
    </w:p>
    <w:p>
      <w:pPr>
        <w:pStyle w:val="12"/>
        <w:spacing w:after="0"/>
        <w:ind w:left="0" w:leftChars="0" w:firstLine="0" w:firstLineChars="0"/>
        <w:rPr>
          <w:rFonts w:hint="eastAsia"/>
          <w:lang w:val="en-US" w:eastAsia="zh-CN"/>
        </w:rPr>
      </w:pPr>
    </w:p>
    <w:p>
      <w:pPr>
        <w:pStyle w:val="12"/>
        <w:spacing w:after="0"/>
        <w:ind w:left="0" w:leftChars="0" w:firstLine="0" w:firstLineChars="0"/>
        <w:rPr>
          <w:rFonts w:hint="eastAsia"/>
          <w:lang w:val="en-US" w:eastAsia="zh-CN"/>
        </w:rPr>
      </w:pPr>
    </w:p>
    <w:p>
      <w:pPr>
        <w:pStyle w:val="12"/>
        <w:spacing w:after="0"/>
        <w:ind w:left="0" w:leftChars="0" w:firstLine="0" w:firstLineChars="0"/>
        <w:rPr>
          <w:rFonts w:hint="eastAsia"/>
          <w:lang w:val="en-US" w:eastAsia="zh-CN"/>
        </w:rPr>
      </w:pPr>
    </w:p>
    <w:p>
      <w:pPr>
        <w:pStyle w:val="12"/>
        <w:spacing w:after="0"/>
        <w:ind w:left="0" w:leftChars="0" w:firstLine="0" w:firstLineChars="0"/>
        <w:rPr>
          <w:rFonts w:hint="eastAsia"/>
          <w:lang w:val="en-US" w:eastAsia="zh-CN"/>
        </w:rPr>
      </w:pPr>
    </w:p>
    <w:p>
      <w:pPr>
        <w:pStyle w:val="12"/>
        <w:spacing w:after="0"/>
        <w:ind w:left="0" w:leftChars="0" w:firstLine="0" w:firstLineChars="0"/>
        <w:rPr>
          <w:rFonts w:hint="eastAsia"/>
          <w:lang w:val="en-US" w:eastAsia="zh-CN"/>
        </w:rPr>
      </w:pPr>
    </w:p>
    <w:p>
      <w:pPr>
        <w:pStyle w:val="12"/>
        <w:spacing w:after="0"/>
        <w:ind w:left="0" w:leftChars="0" w:firstLine="0" w:firstLineChars="0"/>
        <w:rPr>
          <w:rFonts w:hint="eastAsia"/>
          <w:lang w:val="en-US" w:eastAsia="zh-CN"/>
        </w:rPr>
      </w:pPr>
    </w:p>
    <w:p>
      <w:pPr>
        <w:pStyle w:val="12"/>
        <w:spacing w:after="0"/>
        <w:ind w:left="0" w:leftChars="0" w:firstLine="0" w:firstLineChars="0"/>
        <w:rPr>
          <w:rFonts w:hint="eastAsia"/>
          <w:lang w:val="en-US" w:eastAsia="zh-CN"/>
        </w:rPr>
      </w:pPr>
    </w:p>
    <w:p>
      <w:pPr>
        <w:pStyle w:val="12"/>
        <w:spacing w:after="0"/>
        <w:ind w:left="0" w:leftChars="0" w:firstLine="0" w:firstLineChars="0"/>
        <w:rPr>
          <w:rFonts w:hint="eastAsia"/>
          <w:lang w:val="en-US" w:eastAsia="zh-CN"/>
        </w:rPr>
      </w:pPr>
    </w:p>
    <w:p>
      <w:pPr>
        <w:pStyle w:val="12"/>
        <w:spacing w:after="0"/>
        <w:ind w:left="0" w:leftChars="0" w:firstLine="0" w:firstLineChars="0"/>
        <w:rPr>
          <w:rFonts w:hint="eastAsia"/>
          <w:lang w:val="en-US" w:eastAsia="zh-CN"/>
        </w:rPr>
      </w:pPr>
    </w:p>
    <w:p>
      <w:pPr>
        <w:pStyle w:val="12"/>
        <w:spacing w:after="0"/>
        <w:ind w:left="0" w:leftChars="0" w:firstLine="0" w:firstLineChars="0"/>
        <w:rPr>
          <w:rFonts w:hint="eastAsia"/>
          <w:lang w:val="en-US" w:eastAsia="zh-CN"/>
        </w:rPr>
      </w:pPr>
    </w:p>
    <w:p>
      <w:pPr>
        <w:pStyle w:val="12"/>
        <w:rPr>
          <w:rFonts w:hint="eastAsia"/>
          <w:lang w:val="en-US" w:eastAsia="zh-CN"/>
        </w:rPr>
      </w:pPr>
    </w:p>
    <w:p>
      <w:pPr>
        <w:bidi w:val="0"/>
        <w:ind w:firstLine="280" w:firstLineChars="1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20320</wp:posOffset>
                </wp:positionV>
                <wp:extent cx="55435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3.6pt;margin-top:1.6pt;height:0pt;width:436.5pt;z-index:251660288;mso-width-relative:page;mso-height-relative:page;" filled="f" stroked="t" coordsize="21600,21600" o:gfxdata="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31nZG1gAAAAYBAAAPAAAAAAAAAAEAIAAAADgAAABkcnMvZG93bnJldi54bWxQSwEC&#10;FAAUAAAACACHTuJAuSRFPeABAACoAwAADgAAAAAAAAABACAAAAA7AQAAZHJzL2Uyb0RvYy54bWxQ&#10;SwUGAAAAAAYABgBZAQAAjQU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28"/>
          <w:szCs w:val="28"/>
          <w:lang w:val="en-US" w:eastAsia="zh-CN"/>
        </w:rPr>
        <w:t>抄送：机关各处室。</w:t>
      </w:r>
    </w:p>
    <w:p>
      <w:pPr>
        <w:ind w:firstLine="280" w:firstLineChars="100"/>
        <w:jc w:val="left"/>
        <w:rPr>
          <w:rFonts w:hint="eastAsia"/>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5080</wp:posOffset>
                </wp:positionV>
                <wp:extent cx="554355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4.2pt;margin-top:0.4pt;height:0pt;width:436.5pt;z-index:251659264;mso-width-relative:page;mso-height-relative:page;" filled="f" stroked="t" coordsize="21600,21600" o:gfxdata="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Qp14T0wAAAAQBAAAPAAAAAAAAAAEAIAAAADgAAABkcnMvZG93bnJldi54bWxQSwECFAAU&#10;AAAACACHTuJA8gGT4eABAACoAwAADgAAAAAAAAABACAAAAA4AQAAZHJzL2Uyb0RvYy54bWxQSwUG&#10;AAAAAAYABgBZAQAAigU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-53340</wp:posOffset>
                </wp:positionH>
                <wp:positionV relativeFrom="paragraph">
                  <wp:posOffset>355600</wp:posOffset>
                </wp:positionV>
                <wp:extent cx="55435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4.2pt;margin-top:28pt;height:0pt;width:436.5pt;z-index:251658240;mso-width-relative:page;mso-height-relative:page;" filled="f" stroked="t" coordsize="21600,21600" o:gfxdata="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A6PEN9cAAAAIAQAADwAAAAAAAAABACAAAAA4AAAAZHJzL2Rvd25yZXYueG1sUEsB&#10;AhQAFAAAAAgAh07iQPTg8RzgAQAAqAMAAA4AAAAAAAAAAQAgAAAAPAEAAGRycy9lMm9Eb2MueG1s&#10;UEsFBgAAAAAGAAYAWQEAAI4FAAAAAA==&#10;">
                <v:fill on="f" focussize="0,0"/>
                <v:stroke weight="1pt" color="#000000" joinstyle="round"/>
                <v:imagedata o:title=""/>
                <o:lock v:ext="edit" aspectratio="f"/>
              </v:line>
            </w:pict>
          </mc:Fallback>
        </mc:AlternateContent>
      </w:r>
      <w:r>
        <w:rPr>
          <w:rFonts w:hint="eastAsia" w:ascii="仿宋_GB2312" w:hAnsi="仿宋_GB2312" w:eastAsia="仿宋_GB2312" w:cs="仿宋_GB2312"/>
          <w:bCs/>
          <w:sz w:val="28"/>
          <w:szCs w:val="28"/>
        </w:rPr>
        <w:t>北京市粮食和物资储备局办公室         20</w:t>
      </w:r>
      <w:r>
        <w:rPr>
          <w:rFonts w:hint="eastAsia" w:ascii="仿宋_GB2312" w:hAnsi="仿宋_GB2312" w:eastAsia="仿宋_GB2312" w:cs="仿宋_GB2312"/>
          <w:bCs/>
          <w:sz w:val="28"/>
          <w:szCs w:val="28"/>
          <w:lang w:val="en-US" w:eastAsia="zh-CN"/>
        </w:rPr>
        <w:t>26</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lang w:val="en-US" w:eastAsia="zh-CN"/>
        </w:rPr>
        <w:t>7</w:t>
      </w:r>
      <w:r>
        <w:rPr>
          <w:rFonts w:hint="eastAsia" w:ascii="仿宋_GB2312" w:hAnsi="仿宋_GB2312" w:eastAsia="仿宋_GB2312" w:cs="仿宋_GB2312"/>
          <w:bCs/>
          <w:sz w:val="28"/>
          <w:szCs w:val="28"/>
          <w:highlight w:val="none"/>
        </w:rPr>
        <w:t>月</w:t>
      </w:r>
      <w:r>
        <w:rPr>
          <w:rFonts w:hint="eastAsia" w:ascii="仿宋_GB2312" w:hAnsi="仿宋_GB2312" w:eastAsia="仿宋_GB2312" w:cs="仿宋_GB2312"/>
          <w:bCs/>
          <w:sz w:val="28"/>
          <w:szCs w:val="28"/>
          <w:highlight w:val="none"/>
          <w:lang w:val="en-US" w:eastAsia="zh-CN"/>
        </w:rPr>
        <w:t>9</w:t>
      </w:r>
      <w:r>
        <w:rPr>
          <w:rFonts w:hint="eastAsia" w:ascii="仿宋_GB2312" w:hAnsi="仿宋_GB2312" w:eastAsia="仿宋_GB2312" w:cs="仿宋_GB2312"/>
          <w:bCs/>
          <w:sz w:val="28"/>
          <w:szCs w:val="28"/>
          <w:highlight w:val="none"/>
        </w:rPr>
        <w:t>日</w:t>
      </w:r>
      <w:r>
        <w:rPr>
          <w:rFonts w:hint="eastAsia" w:ascii="仿宋_GB2312" w:hAnsi="仿宋_GB2312" w:eastAsia="仿宋_GB2312" w:cs="仿宋_GB2312"/>
          <w:bCs/>
          <w:sz w:val="28"/>
          <w:szCs w:val="28"/>
        </w:rPr>
        <w:t>印发</w:t>
      </w:r>
    </w:p>
    <w:sectPr>
      <w:footerReference r:id="rId9" w:type="default"/>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posOffset>-666750</wp:posOffset>
              </wp:positionH>
              <wp:positionV relativeFrom="paragraph">
                <wp:posOffset>-1247775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- 6 -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eaVert"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52.5pt;margin-top:-98.25pt;height:144pt;width:144pt;mso-position-horizontal-relative:margin;mso-wrap-style:none;z-index:251664384;mso-width-relative:page;mso-height-relative:page;" filled="f" stroked="f" coordsize="21600,21600" o:gfxdata="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Oa74AjbAAAADAEAAA8AAAAAAAAAAQAgAAAAOAAAAGRycy9kb3du&#10;cmV2LnhtbFBLAQIUABQAAAAIAIdO4kCHlbfcHwIAACsEAAAOAAAAAAAAAAEAIAAAAEABAABkcnMv&#10;ZTJvRG9jLnhtbFBLBQYAAAAABgAGAFkBAADRBQAAAAA=&#10;">
              <v:fill on="f" focussize="0,0"/>
              <v:stroke on="f" weight="0.5pt"/>
              <v:imagedata o:title=""/>
              <o:lock v:ext="edit" aspectratio="f"/>
              <v:textbox inset="0mm,0mm,0mm,0mm" style="layout-flow:vertical-ideographic;mso-fit-shape-to-text:t;">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- 6 -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- 43 -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7"/>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- 43 -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r>
      <w:rPr>
        <w:sz w:val="18"/>
      </w:rPr>
      <mc:AlternateContent>
        <mc:Choice Requires="wps">
          <w:drawing>
            <wp:anchor distT="0" distB="0" distL="114300" distR="114300" simplePos="0" relativeHeight="251667456" behindDoc="0" locked="0" layoutInCell="1" allowOverlap="1">
              <wp:simplePos x="0" y="0"/>
              <wp:positionH relativeFrom="margin">
                <wp:posOffset>-619125</wp:posOffset>
              </wp:positionH>
              <wp:positionV relativeFrom="paragraph">
                <wp:posOffset>941705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eaVert"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48.75pt;margin-top:74.15pt;height:144pt;width:144pt;mso-position-horizontal-relative:margin;mso-wrap-style:none;z-index:251667456;mso-width-relative:page;mso-height-relative:page;" filled="f" stroked="f" coordsize="21600,21600" o:gfxdata="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IEs06PaAAAACwEAAA8AAAAAAAAAAQAgAAAAOAAAAGRycy9kb3ducmV2&#10;LnhtbFBLAQIUABQAAAAIAIdO4kDGx/B0HQIAACsEAAAOAAAAAAAAAAEAIAAAAD8BAABkcnMvZTJv&#10;RG9jLnhtbFBLBQYAAAAABgAGAFkBAADOBQAAAAA=&#10;">
              <v:fill on="f" focussize="0,0"/>
              <v:stroke on="f" weight="0.5pt"/>
              <v:imagedata o:title=""/>
              <o:lock v:ext="edit" aspectratio="f"/>
              <v:textbox inset="0mm,0mm,0mm,0mm" style="layout-flow:vertical-ideographic;mso-fit-shape-to-text:t;">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ED836"/>
    <w:multiLevelType w:val="singleLevel"/>
    <w:tmpl w:val="FEFED83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9"/>
  <w:displayHorizontalDrawingGridEvery w:val="1"/>
  <w:displayVerticalDrawingGridEvery w:val="2"/>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10E"/>
    <w:rsid w:val="00180465"/>
    <w:rsid w:val="002A2296"/>
    <w:rsid w:val="004D3892"/>
    <w:rsid w:val="00613959"/>
    <w:rsid w:val="00751773"/>
    <w:rsid w:val="009157F6"/>
    <w:rsid w:val="00925879"/>
    <w:rsid w:val="009E6AD7"/>
    <w:rsid w:val="00B14E76"/>
    <w:rsid w:val="00C87DD8"/>
    <w:rsid w:val="00CF26A2"/>
    <w:rsid w:val="00DB210E"/>
    <w:rsid w:val="00E3025F"/>
    <w:rsid w:val="00ED0F6B"/>
    <w:rsid w:val="00F92B03"/>
    <w:rsid w:val="01001A02"/>
    <w:rsid w:val="016A23DD"/>
    <w:rsid w:val="020B640F"/>
    <w:rsid w:val="03117041"/>
    <w:rsid w:val="035B342C"/>
    <w:rsid w:val="04B00522"/>
    <w:rsid w:val="05AC1E17"/>
    <w:rsid w:val="070D0CF2"/>
    <w:rsid w:val="070D4DBB"/>
    <w:rsid w:val="08B5414C"/>
    <w:rsid w:val="08B565A0"/>
    <w:rsid w:val="09CD7A25"/>
    <w:rsid w:val="0A616AD2"/>
    <w:rsid w:val="0C8D692D"/>
    <w:rsid w:val="0D0116AB"/>
    <w:rsid w:val="0E53087E"/>
    <w:rsid w:val="0EE25119"/>
    <w:rsid w:val="0F7729A5"/>
    <w:rsid w:val="100E5B54"/>
    <w:rsid w:val="1114424D"/>
    <w:rsid w:val="11C53515"/>
    <w:rsid w:val="130E1AF8"/>
    <w:rsid w:val="13ABA1D4"/>
    <w:rsid w:val="144926BA"/>
    <w:rsid w:val="14EC1B47"/>
    <w:rsid w:val="15A253C0"/>
    <w:rsid w:val="16A07414"/>
    <w:rsid w:val="16B759AD"/>
    <w:rsid w:val="16E051FE"/>
    <w:rsid w:val="17C63E55"/>
    <w:rsid w:val="17FEB801"/>
    <w:rsid w:val="17FFF262"/>
    <w:rsid w:val="19464EA3"/>
    <w:rsid w:val="1A5F5E79"/>
    <w:rsid w:val="1A630160"/>
    <w:rsid w:val="1A6E1A3E"/>
    <w:rsid w:val="1A8D3974"/>
    <w:rsid w:val="1AE75225"/>
    <w:rsid w:val="1AF749C7"/>
    <w:rsid w:val="1C3D5BC4"/>
    <w:rsid w:val="1D3B42B8"/>
    <w:rsid w:val="1DDBE1BE"/>
    <w:rsid w:val="1E990B37"/>
    <w:rsid w:val="1E9B3263"/>
    <w:rsid w:val="1FAE7660"/>
    <w:rsid w:val="1FB96C25"/>
    <w:rsid w:val="1FFB205C"/>
    <w:rsid w:val="207E2ACC"/>
    <w:rsid w:val="20CA62F9"/>
    <w:rsid w:val="23EA5726"/>
    <w:rsid w:val="26154D9F"/>
    <w:rsid w:val="27A319E0"/>
    <w:rsid w:val="27CFE921"/>
    <w:rsid w:val="27FD4F21"/>
    <w:rsid w:val="287C7715"/>
    <w:rsid w:val="29E71BFF"/>
    <w:rsid w:val="2A3DB07A"/>
    <w:rsid w:val="2A9346FC"/>
    <w:rsid w:val="2AB2132F"/>
    <w:rsid w:val="2AFFB0A6"/>
    <w:rsid w:val="2B9F1CCD"/>
    <w:rsid w:val="2BA23CA7"/>
    <w:rsid w:val="2BFB4B84"/>
    <w:rsid w:val="2CF42A5A"/>
    <w:rsid w:val="2CFF439E"/>
    <w:rsid w:val="2D2F3278"/>
    <w:rsid w:val="2DD39DB5"/>
    <w:rsid w:val="2DDA2958"/>
    <w:rsid w:val="2DFB202A"/>
    <w:rsid w:val="2E7BDD47"/>
    <w:rsid w:val="2EF76C3D"/>
    <w:rsid w:val="2F6A4D09"/>
    <w:rsid w:val="2FDBC434"/>
    <w:rsid w:val="2FFD77EA"/>
    <w:rsid w:val="2FFEFA52"/>
    <w:rsid w:val="3077FBE8"/>
    <w:rsid w:val="30FC2354"/>
    <w:rsid w:val="3206066B"/>
    <w:rsid w:val="32D6F975"/>
    <w:rsid w:val="32F698FE"/>
    <w:rsid w:val="3365562A"/>
    <w:rsid w:val="33BC9E69"/>
    <w:rsid w:val="34336C43"/>
    <w:rsid w:val="34945ACB"/>
    <w:rsid w:val="355E0F76"/>
    <w:rsid w:val="35EC98EA"/>
    <w:rsid w:val="36CF2A92"/>
    <w:rsid w:val="377DC1E4"/>
    <w:rsid w:val="37F80854"/>
    <w:rsid w:val="37FD10A9"/>
    <w:rsid w:val="387B2BE2"/>
    <w:rsid w:val="391F6084"/>
    <w:rsid w:val="39FC654B"/>
    <w:rsid w:val="3BBF23C7"/>
    <w:rsid w:val="3BBF6A46"/>
    <w:rsid w:val="3BEF8E5C"/>
    <w:rsid w:val="3C57F2AB"/>
    <w:rsid w:val="3D696DC7"/>
    <w:rsid w:val="3D93D0D8"/>
    <w:rsid w:val="3DA63591"/>
    <w:rsid w:val="3DBE87BC"/>
    <w:rsid w:val="3DEF2403"/>
    <w:rsid w:val="3DFD0EFD"/>
    <w:rsid w:val="3DFF9589"/>
    <w:rsid w:val="3EDB79FB"/>
    <w:rsid w:val="3EFB41F2"/>
    <w:rsid w:val="3EFBE478"/>
    <w:rsid w:val="3F141A27"/>
    <w:rsid w:val="3F1FAAF0"/>
    <w:rsid w:val="3F3BA69A"/>
    <w:rsid w:val="3F7E7AC1"/>
    <w:rsid w:val="3F8E7AD2"/>
    <w:rsid w:val="3FA6994C"/>
    <w:rsid w:val="3FBEF5CF"/>
    <w:rsid w:val="3FDB7207"/>
    <w:rsid w:val="3FE2A840"/>
    <w:rsid w:val="3FE346FA"/>
    <w:rsid w:val="3FEF9CB8"/>
    <w:rsid w:val="3FFED615"/>
    <w:rsid w:val="3FFF9CA2"/>
    <w:rsid w:val="403F3C5F"/>
    <w:rsid w:val="40AC0320"/>
    <w:rsid w:val="416C6D06"/>
    <w:rsid w:val="441C29D3"/>
    <w:rsid w:val="464F6423"/>
    <w:rsid w:val="469D4E78"/>
    <w:rsid w:val="479E4937"/>
    <w:rsid w:val="47BFC4C9"/>
    <w:rsid w:val="486B6CD5"/>
    <w:rsid w:val="487E4E61"/>
    <w:rsid w:val="4A9FDF69"/>
    <w:rsid w:val="4ADFEA18"/>
    <w:rsid w:val="4AFF4593"/>
    <w:rsid w:val="4B417B71"/>
    <w:rsid w:val="4B6E1B60"/>
    <w:rsid w:val="4B9B94B9"/>
    <w:rsid w:val="4BFF2C1C"/>
    <w:rsid w:val="4D11650B"/>
    <w:rsid w:val="4D8FBA0B"/>
    <w:rsid w:val="4DFFB5DC"/>
    <w:rsid w:val="4E005326"/>
    <w:rsid w:val="4E7E20D4"/>
    <w:rsid w:val="4EF68057"/>
    <w:rsid w:val="4F6F5983"/>
    <w:rsid w:val="4FA7A12B"/>
    <w:rsid w:val="4FBD11B5"/>
    <w:rsid w:val="4FDD04CF"/>
    <w:rsid w:val="4FF98912"/>
    <w:rsid w:val="51FED7AB"/>
    <w:rsid w:val="52821976"/>
    <w:rsid w:val="52DF9396"/>
    <w:rsid w:val="52E42DD4"/>
    <w:rsid w:val="532FD89B"/>
    <w:rsid w:val="535E51D5"/>
    <w:rsid w:val="53651C7A"/>
    <w:rsid w:val="5367005E"/>
    <w:rsid w:val="539DCDE7"/>
    <w:rsid w:val="53B761C2"/>
    <w:rsid w:val="547F8494"/>
    <w:rsid w:val="54B84515"/>
    <w:rsid w:val="553441B2"/>
    <w:rsid w:val="55934569"/>
    <w:rsid w:val="55B7CB8A"/>
    <w:rsid w:val="55BE1278"/>
    <w:rsid w:val="55CAC2B5"/>
    <w:rsid w:val="55D775B5"/>
    <w:rsid w:val="56F1A809"/>
    <w:rsid w:val="56FDAC83"/>
    <w:rsid w:val="57DFB868"/>
    <w:rsid w:val="57F8F778"/>
    <w:rsid w:val="587FF25E"/>
    <w:rsid w:val="58F77002"/>
    <w:rsid w:val="58FE23A2"/>
    <w:rsid w:val="59B30062"/>
    <w:rsid w:val="59BB48E8"/>
    <w:rsid w:val="5A7E6152"/>
    <w:rsid w:val="5A9DC452"/>
    <w:rsid w:val="5AB86F66"/>
    <w:rsid w:val="5AE67F76"/>
    <w:rsid w:val="5AF26ECA"/>
    <w:rsid w:val="5AFF91B2"/>
    <w:rsid w:val="5BD462C2"/>
    <w:rsid w:val="5BD75DB0"/>
    <w:rsid w:val="5BFF3E16"/>
    <w:rsid w:val="5CBA6849"/>
    <w:rsid w:val="5D7A5079"/>
    <w:rsid w:val="5DDE9894"/>
    <w:rsid w:val="5DFB5BC2"/>
    <w:rsid w:val="5E3C7CAF"/>
    <w:rsid w:val="5E4DA575"/>
    <w:rsid w:val="5E7E07C4"/>
    <w:rsid w:val="5ED3213A"/>
    <w:rsid w:val="5EDA00F4"/>
    <w:rsid w:val="5EDB752B"/>
    <w:rsid w:val="5EFA7CCD"/>
    <w:rsid w:val="5F476563"/>
    <w:rsid w:val="5F53B5C0"/>
    <w:rsid w:val="5F5D5269"/>
    <w:rsid w:val="5F65CF32"/>
    <w:rsid w:val="5F7799A6"/>
    <w:rsid w:val="5F7AFB66"/>
    <w:rsid w:val="5F7B5849"/>
    <w:rsid w:val="5F9B5FAE"/>
    <w:rsid w:val="5FB7EE78"/>
    <w:rsid w:val="5FBF4C04"/>
    <w:rsid w:val="5FDFCCAA"/>
    <w:rsid w:val="5FFCDF2C"/>
    <w:rsid w:val="5FFCFEB2"/>
    <w:rsid w:val="5FFD8B8C"/>
    <w:rsid w:val="60BD1497"/>
    <w:rsid w:val="6125790B"/>
    <w:rsid w:val="61BFA387"/>
    <w:rsid w:val="61FFA47A"/>
    <w:rsid w:val="62B05E0E"/>
    <w:rsid w:val="62BA8425"/>
    <w:rsid w:val="63FB0090"/>
    <w:rsid w:val="653DB430"/>
    <w:rsid w:val="6557D0C1"/>
    <w:rsid w:val="65AE411C"/>
    <w:rsid w:val="65C168BC"/>
    <w:rsid w:val="66E534CF"/>
    <w:rsid w:val="67511516"/>
    <w:rsid w:val="676E9336"/>
    <w:rsid w:val="67BDAA07"/>
    <w:rsid w:val="67FF53EA"/>
    <w:rsid w:val="680F4F96"/>
    <w:rsid w:val="682A27CA"/>
    <w:rsid w:val="682F4805"/>
    <w:rsid w:val="68FD6E7B"/>
    <w:rsid w:val="6A154EFE"/>
    <w:rsid w:val="6A225C03"/>
    <w:rsid w:val="6A351EDA"/>
    <w:rsid w:val="6A490568"/>
    <w:rsid w:val="6A591742"/>
    <w:rsid w:val="6AC0151D"/>
    <w:rsid w:val="6AEC5376"/>
    <w:rsid w:val="6B810977"/>
    <w:rsid w:val="6BBFA819"/>
    <w:rsid w:val="6BF6A92A"/>
    <w:rsid w:val="6BF99BE3"/>
    <w:rsid w:val="6BFB3F9D"/>
    <w:rsid w:val="6BFE23C0"/>
    <w:rsid w:val="6CC7CD92"/>
    <w:rsid w:val="6CFF13B4"/>
    <w:rsid w:val="6D7346A3"/>
    <w:rsid w:val="6DE32C41"/>
    <w:rsid w:val="6DE92931"/>
    <w:rsid w:val="6DEC2388"/>
    <w:rsid w:val="6DF7404F"/>
    <w:rsid w:val="6DF78EAA"/>
    <w:rsid w:val="6DFBCC87"/>
    <w:rsid w:val="6DFFFBAF"/>
    <w:rsid w:val="6E6D3E92"/>
    <w:rsid w:val="6E75EA55"/>
    <w:rsid w:val="6E7FB0BD"/>
    <w:rsid w:val="6EC31393"/>
    <w:rsid w:val="6EF10E2C"/>
    <w:rsid w:val="6F3FED1D"/>
    <w:rsid w:val="6F5F6DF4"/>
    <w:rsid w:val="6F6D87A4"/>
    <w:rsid w:val="6F6EA8E7"/>
    <w:rsid w:val="6F6FEE97"/>
    <w:rsid w:val="6F713999"/>
    <w:rsid w:val="6F8C797B"/>
    <w:rsid w:val="6F919BD2"/>
    <w:rsid w:val="6F96DB82"/>
    <w:rsid w:val="6FAF002C"/>
    <w:rsid w:val="6FAF8616"/>
    <w:rsid w:val="6FAFB822"/>
    <w:rsid w:val="6FB7D747"/>
    <w:rsid w:val="6FBB27F8"/>
    <w:rsid w:val="6FBF629D"/>
    <w:rsid w:val="6FF6C99C"/>
    <w:rsid w:val="6FF962DA"/>
    <w:rsid w:val="6FFE42D6"/>
    <w:rsid w:val="6FFF0252"/>
    <w:rsid w:val="6FFF15DD"/>
    <w:rsid w:val="6FFF438D"/>
    <w:rsid w:val="6FFF5554"/>
    <w:rsid w:val="6FFFD59F"/>
    <w:rsid w:val="6FFFF42E"/>
    <w:rsid w:val="7034683F"/>
    <w:rsid w:val="726C284B"/>
    <w:rsid w:val="72B36220"/>
    <w:rsid w:val="72BBB2CF"/>
    <w:rsid w:val="72F077C1"/>
    <w:rsid w:val="72FF39A7"/>
    <w:rsid w:val="72FFF92E"/>
    <w:rsid w:val="733F38EC"/>
    <w:rsid w:val="73755347"/>
    <w:rsid w:val="737FF4C0"/>
    <w:rsid w:val="73937005"/>
    <w:rsid w:val="73B37201"/>
    <w:rsid w:val="73D3A114"/>
    <w:rsid w:val="73DF007C"/>
    <w:rsid w:val="73F7FA68"/>
    <w:rsid w:val="7445043E"/>
    <w:rsid w:val="74512603"/>
    <w:rsid w:val="753FE43F"/>
    <w:rsid w:val="757647F4"/>
    <w:rsid w:val="75766150"/>
    <w:rsid w:val="757DE146"/>
    <w:rsid w:val="75AE79FD"/>
    <w:rsid w:val="75C7A9BC"/>
    <w:rsid w:val="75ED5D32"/>
    <w:rsid w:val="75F408E9"/>
    <w:rsid w:val="75FCB8F0"/>
    <w:rsid w:val="769E7B3E"/>
    <w:rsid w:val="76DB2A9E"/>
    <w:rsid w:val="76FFCFA4"/>
    <w:rsid w:val="772FE8C4"/>
    <w:rsid w:val="77774F67"/>
    <w:rsid w:val="77778DDF"/>
    <w:rsid w:val="777DBFD5"/>
    <w:rsid w:val="777F37F2"/>
    <w:rsid w:val="778F79A6"/>
    <w:rsid w:val="77A5306D"/>
    <w:rsid w:val="77AF68FF"/>
    <w:rsid w:val="77B70250"/>
    <w:rsid w:val="77BF9DD0"/>
    <w:rsid w:val="77D5332D"/>
    <w:rsid w:val="77DB8086"/>
    <w:rsid w:val="77DF9B17"/>
    <w:rsid w:val="77F9EEB6"/>
    <w:rsid w:val="77FD4DC4"/>
    <w:rsid w:val="77FD66D6"/>
    <w:rsid w:val="78293A96"/>
    <w:rsid w:val="78AB4BDB"/>
    <w:rsid w:val="797F6958"/>
    <w:rsid w:val="79BAD126"/>
    <w:rsid w:val="79BE087C"/>
    <w:rsid w:val="79C7C3E5"/>
    <w:rsid w:val="79F769E9"/>
    <w:rsid w:val="79FBD886"/>
    <w:rsid w:val="79FEB521"/>
    <w:rsid w:val="79FF2C72"/>
    <w:rsid w:val="7A378B29"/>
    <w:rsid w:val="7A5A4E6D"/>
    <w:rsid w:val="7A5FFF1D"/>
    <w:rsid w:val="7AB38BCD"/>
    <w:rsid w:val="7ABF326F"/>
    <w:rsid w:val="7AEC944A"/>
    <w:rsid w:val="7AF72BB9"/>
    <w:rsid w:val="7AFB8B21"/>
    <w:rsid w:val="7B1706E8"/>
    <w:rsid w:val="7B575CF9"/>
    <w:rsid w:val="7B6B4F3D"/>
    <w:rsid w:val="7B6EF8F5"/>
    <w:rsid w:val="7B719B6D"/>
    <w:rsid w:val="7B762CF6"/>
    <w:rsid w:val="7BBB6E6B"/>
    <w:rsid w:val="7BD7E85F"/>
    <w:rsid w:val="7BDD13F7"/>
    <w:rsid w:val="7BDD976E"/>
    <w:rsid w:val="7BE703BF"/>
    <w:rsid w:val="7BE74774"/>
    <w:rsid w:val="7BE74F34"/>
    <w:rsid w:val="7BEB880E"/>
    <w:rsid w:val="7BEFB791"/>
    <w:rsid w:val="7BFB8592"/>
    <w:rsid w:val="7C176C82"/>
    <w:rsid w:val="7C712344"/>
    <w:rsid w:val="7C7B8556"/>
    <w:rsid w:val="7CA5C7A5"/>
    <w:rsid w:val="7CB326E8"/>
    <w:rsid w:val="7CBF69DE"/>
    <w:rsid w:val="7CCE3C7C"/>
    <w:rsid w:val="7CD2C51B"/>
    <w:rsid w:val="7CF55A9E"/>
    <w:rsid w:val="7CF70C3D"/>
    <w:rsid w:val="7D3B9FF5"/>
    <w:rsid w:val="7D5DED9A"/>
    <w:rsid w:val="7D6BFCE0"/>
    <w:rsid w:val="7D7FE918"/>
    <w:rsid w:val="7D7FEE33"/>
    <w:rsid w:val="7D942692"/>
    <w:rsid w:val="7DB03D44"/>
    <w:rsid w:val="7DBF667E"/>
    <w:rsid w:val="7DCF13CE"/>
    <w:rsid w:val="7DDF816E"/>
    <w:rsid w:val="7DEF48A0"/>
    <w:rsid w:val="7DF17BE0"/>
    <w:rsid w:val="7DF579A0"/>
    <w:rsid w:val="7DF6AEBC"/>
    <w:rsid w:val="7DF92336"/>
    <w:rsid w:val="7DFB6D79"/>
    <w:rsid w:val="7DFF8A44"/>
    <w:rsid w:val="7DFFD9AA"/>
    <w:rsid w:val="7DFFFA35"/>
    <w:rsid w:val="7E3E5F35"/>
    <w:rsid w:val="7E78DA4E"/>
    <w:rsid w:val="7E7F13DF"/>
    <w:rsid w:val="7E7F1CA5"/>
    <w:rsid w:val="7EBD4F6A"/>
    <w:rsid w:val="7EBF0D90"/>
    <w:rsid w:val="7EBFF52E"/>
    <w:rsid w:val="7EDF4F9F"/>
    <w:rsid w:val="7EDF802D"/>
    <w:rsid w:val="7EEBA858"/>
    <w:rsid w:val="7EEEC2F2"/>
    <w:rsid w:val="7EF7164B"/>
    <w:rsid w:val="7EF7ACA9"/>
    <w:rsid w:val="7EFFCDF8"/>
    <w:rsid w:val="7F178481"/>
    <w:rsid w:val="7F1FED4C"/>
    <w:rsid w:val="7F256B0C"/>
    <w:rsid w:val="7F2D8BFF"/>
    <w:rsid w:val="7F37326E"/>
    <w:rsid w:val="7F3B2F6B"/>
    <w:rsid w:val="7F3E5B02"/>
    <w:rsid w:val="7F3F25D2"/>
    <w:rsid w:val="7F3F6D98"/>
    <w:rsid w:val="7F4B0ED6"/>
    <w:rsid w:val="7F596A36"/>
    <w:rsid w:val="7F635BEC"/>
    <w:rsid w:val="7F6DBCC5"/>
    <w:rsid w:val="7F6F8797"/>
    <w:rsid w:val="7F7D58EC"/>
    <w:rsid w:val="7F8E75CB"/>
    <w:rsid w:val="7F979402"/>
    <w:rsid w:val="7F9DC1FE"/>
    <w:rsid w:val="7FA169FF"/>
    <w:rsid w:val="7FA7AFF6"/>
    <w:rsid w:val="7FB1C5AF"/>
    <w:rsid w:val="7FB96FFE"/>
    <w:rsid w:val="7FBBB557"/>
    <w:rsid w:val="7FCF1F29"/>
    <w:rsid w:val="7FCF90C1"/>
    <w:rsid w:val="7FCFE816"/>
    <w:rsid w:val="7FD5F4B8"/>
    <w:rsid w:val="7FD6570E"/>
    <w:rsid w:val="7FDBAD76"/>
    <w:rsid w:val="7FDFCFFA"/>
    <w:rsid w:val="7FE89452"/>
    <w:rsid w:val="7FEBD2C8"/>
    <w:rsid w:val="7FEBF835"/>
    <w:rsid w:val="7FEC40F4"/>
    <w:rsid w:val="7FEFD6F1"/>
    <w:rsid w:val="7FF10994"/>
    <w:rsid w:val="7FF7AFE1"/>
    <w:rsid w:val="7FF9ADBF"/>
    <w:rsid w:val="7FF9C881"/>
    <w:rsid w:val="7FFB28D2"/>
    <w:rsid w:val="7FFCCDDA"/>
    <w:rsid w:val="7FFDFA4D"/>
    <w:rsid w:val="7FFE4C02"/>
    <w:rsid w:val="7FFEF5FF"/>
    <w:rsid w:val="7FFF0449"/>
    <w:rsid w:val="7FFF10B0"/>
    <w:rsid w:val="7FFF1669"/>
    <w:rsid w:val="7FFF1EF8"/>
    <w:rsid w:val="7FFF9330"/>
    <w:rsid w:val="84EF66BB"/>
    <w:rsid w:val="8BD9392E"/>
    <w:rsid w:val="8CF9434C"/>
    <w:rsid w:val="8CFFBDAB"/>
    <w:rsid w:val="8EDF7461"/>
    <w:rsid w:val="8F6F314C"/>
    <w:rsid w:val="8FF340B1"/>
    <w:rsid w:val="8FFF0752"/>
    <w:rsid w:val="95FEA41D"/>
    <w:rsid w:val="9AFFB165"/>
    <w:rsid w:val="9BD50EE1"/>
    <w:rsid w:val="9BE3D14D"/>
    <w:rsid w:val="9BFCD59E"/>
    <w:rsid w:val="9BFF730D"/>
    <w:rsid w:val="9C9F10B7"/>
    <w:rsid w:val="9D4B5CFF"/>
    <w:rsid w:val="9DB69370"/>
    <w:rsid w:val="9DD61A83"/>
    <w:rsid w:val="9EBE769B"/>
    <w:rsid w:val="9F7997C4"/>
    <w:rsid w:val="9F7B05F2"/>
    <w:rsid w:val="9F9B839F"/>
    <w:rsid w:val="9FBB9869"/>
    <w:rsid w:val="9FD32C04"/>
    <w:rsid w:val="9FFB4497"/>
    <w:rsid w:val="9FFD0A30"/>
    <w:rsid w:val="A17534D1"/>
    <w:rsid w:val="A3567C1A"/>
    <w:rsid w:val="A3EF315A"/>
    <w:rsid w:val="A3EF59C5"/>
    <w:rsid w:val="A9FF5396"/>
    <w:rsid w:val="AB3FD0B2"/>
    <w:rsid w:val="ABBC6905"/>
    <w:rsid w:val="ABFBFA02"/>
    <w:rsid w:val="AD375D27"/>
    <w:rsid w:val="ADAFC1B1"/>
    <w:rsid w:val="AEEF5803"/>
    <w:rsid w:val="AF5FE7D8"/>
    <w:rsid w:val="AF8663E9"/>
    <w:rsid w:val="AFAA658D"/>
    <w:rsid w:val="AFE9A1CC"/>
    <w:rsid w:val="AFFE7B02"/>
    <w:rsid w:val="AFFEB5DE"/>
    <w:rsid w:val="B33FB105"/>
    <w:rsid w:val="B3DDF11B"/>
    <w:rsid w:val="B3FFC60D"/>
    <w:rsid w:val="B5765EAE"/>
    <w:rsid w:val="B6D7F142"/>
    <w:rsid w:val="B7DC1029"/>
    <w:rsid w:val="B7EECE3F"/>
    <w:rsid w:val="B7FEEC38"/>
    <w:rsid w:val="B7FF2195"/>
    <w:rsid w:val="B86EBD32"/>
    <w:rsid w:val="B95F4700"/>
    <w:rsid w:val="B9DF16CD"/>
    <w:rsid w:val="BA1F84EF"/>
    <w:rsid w:val="BA7B23C6"/>
    <w:rsid w:val="BB7B746E"/>
    <w:rsid w:val="BBE7BF90"/>
    <w:rsid w:val="BD7F59BF"/>
    <w:rsid w:val="BDCB2BE5"/>
    <w:rsid w:val="BDFBF583"/>
    <w:rsid w:val="BDFDBECD"/>
    <w:rsid w:val="BE8FB294"/>
    <w:rsid w:val="BEBF4111"/>
    <w:rsid w:val="BF32AD2B"/>
    <w:rsid w:val="BF3F7F43"/>
    <w:rsid w:val="BF6A58A3"/>
    <w:rsid w:val="BFA7A57D"/>
    <w:rsid w:val="BFABEB50"/>
    <w:rsid w:val="BFBF0A45"/>
    <w:rsid w:val="BFCE0B39"/>
    <w:rsid w:val="BFDF80CA"/>
    <w:rsid w:val="BFED132D"/>
    <w:rsid w:val="BFEEFBEF"/>
    <w:rsid w:val="BFEF71F0"/>
    <w:rsid w:val="BFF79B8E"/>
    <w:rsid w:val="BFFF2688"/>
    <w:rsid w:val="C7BBEE8B"/>
    <w:rsid w:val="C7FF7BA6"/>
    <w:rsid w:val="CB7D6125"/>
    <w:rsid w:val="CCFE59A4"/>
    <w:rsid w:val="CDFBAED2"/>
    <w:rsid w:val="CEF5E032"/>
    <w:rsid w:val="CEFB3713"/>
    <w:rsid w:val="CF8F38E7"/>
    <w:rsid w:val="CFCD2ACE"/>
    <w:rsid w:val="CFF7BEE0"/>
    <w:rsid w:val="CFFF6DC8"/>
    <w:rsid w:val="CFFF7263"/>
    <w:rsid w:val="D1D32E8E"/>
    <w:rsid w:val="D32FCAAB"/>
    <w:rsid w:val="D39DA66F"/>
    <w:rsid w:val="D52F75E8"/>
    <w:rsid w:val="D5BB9F38"/>
    <w:rsid w:val="D5BFC7AB"/>
    <w:rsid w:val="D5FD2F80"/>
    <w:rsid w:val="D66FFDF0"/>
    <w:rsid w:val="D6BB110E"/>
    <w:rsid w:val="D6FE2F3F"/>
    <w:rsid w:val="D78BE8A3"/>
    <w:rsid w:val="D7B5C29F"/>
    <w:rsid w:val="D7B739A0"/>
    <w:rsid w:val="D7BF500D"/>
    <w:rsid w:val="D7D3E638"/>
    <w:rsid w:val="D7D3FAD9"/>
    <w:rsid w:val="D7E7BF01"/>
    <w:rsid w:val="D7EDD3C5"/>
    <w:rsid w:val="D7FB1B04"/>
    <w:rsid w:val="D89B2A04"/>
    <w:rsid w:val="D8DDA242"/>
    <w:rsid w:val="D9B746DC"/>
    <w:rsid w:val="D9FB2D78"/>
    <w:rsid w:val="DBEA59F1"/>
    <w:rsid w:val="DBF28F79"/>
    <w:rsid w:val="DBFB5C2D"/>
    <w:rsid w:val="DBFE2AF4"/>
    <w:rsid w:val="DCF47AF3"/>
    <w:rsid w:val="DD738447"/>
    <w:rsid w:val="DDDBEFDA"/>
    <w:rsid w:val="DDEFCA96"/>
    <w:rsid w:val="DE6DB783"/>
    <w:rsid w:val="DE7F2E25"/>
    <w:rsid w:val="DEDD68A1"/>
    <w:rsid w:val="DEE3E1A5"/>
    <w:rsid w:val="DEF7AF93"/>
    <w:rsid w:val="DEFF3B25"/>
    <w:rsid w:val="DF1960D4"/>
    <w:rsid w:val="DF2FE7B5"/>
    <w:rsid w:val="DF36F0C9"/>
    <w:rsid w:val="DF4593AF"/>
    <w:rsid w:val="DF559B5E"/>
    <w:rsid w:val="DF737B6B"/>
    <w:rsid w:val="DF7EE745"/>
    <w:rsid w:val="DF7FBC6E"/>
    <w:rsid w:val="DF9FC663"/>
    <w:rsid w:val="DFAADD0A"/>
    <w:rsid w:val="DFBD42FB"/>
    <w:rsid w:val="DFDF7858"/>
    <w:rsid w:val="DFEFD79F"/>
    <w:rsid w:val="DFF62DB9"/>
    <w:rsid w:val="DFF7A407"/>
    <w:rsid w:val="DFF7E9E8"/>
    <w:rsid w:val="DFFAC6FC"/>
    <w:rsid w:val="DFFBD067"/>
    <w:rsid w:val="DFFDCDF2"/>
    <w:rsid w:val="DFFEC483"/>
    <w:rsid w:val="DFFF0521"/>
    <w:rsid w:val="DFFF9968"/>
    <w:rsid w:val="E1FF6B4A"/>
    <w:rsid w:val="E27FA0E2"/>
    <w:rsid w:val="E3D7D0CD"/>
    <w:rsid w:val="E3E7702F"/>
    <w:rsid w:val="E3FAAAEB"/>
    <w:rsid w:val="E5F2B96E"/>
    <w:rsid w:val="E5F52A48"/>
    <w:rsid w:val="E5FA76D9"/>
    <w:rsid w:val="E6FE6BD7"/>
    <w:rsid w:val="E75E0BD2"/>
    <w:rsid w:val="E7DB2F65"/>
    <w:rsid w:val="E7E7B957"/>
    <w:rsid w:val="E7E94B81"/>
    <w:rsid w:val="E7FFB722"/>
    <w:rsid w:val="E8F75B11"/>
    <w:rsid w:val="E93EB176"/>
    <w:rsid w:val="E99FBE0B"/>
    <w:rsid w:val="E9BF7120"/>
    <w:rsid w:val="E9DDD057"/>
    <w:rsid w:val="E9F71EFB"/>
    <w:rsid w:val="EAEDA4DE"/>
    <w:rsid w:val="EAFA0FCC"/>
    <w:rsid w:val="EBB53D24"/>
    <w:rsid w:val="EBFD19F9"/>
    <w:rsid w:val="EBFE231B"/>
    <w:rsid w:val="ECDF9A47"/>
    <w:rsid w:val="ED76B02C"/>
    <w:rsid w:val="ED8FFEF5"/>
    <w:rsid w:val="EDBEDE18"/>
    <w:rsid w:val="EDDEB416"/>
    <w:rsid w:val="EDDF1141"/>
    <w:rsid w:val="EDEF8704"/>
    <w:rsid w:val="EDF02D54"/>
    <w:rsid w:val="EDFF46F5"/>
    <w:rsid w:val="EE2E6C9B"/>
    <w:rsid w:val="EECEFE48"/>
    <w:rsid w:val="EEF64E48"/>
    <w:rsid w:val="EEF76BFB"/>
    <w:rsid w:val="EEFFC8B1"/>
    <w:rsid w:val="EF1BCB22"/>
    <w:rsid w:val="EF3FEBE4"/>
    <w:rsid w:val="EF6BA892"/>
    <w:rsid w:val="EF7F07A3"/>
    <w:rsid w:val="EF7FD278"/>
    <w:rsid w:val="EF9E4E4A"/>
    <w:rsid w:val="EF9FDA85"/>
    <w:rsid w:val="EFA61026"/>
    <w:rsid w:val="EFB600CC"/>
    <w:rsid w:val="EFDF01F8"/>
    <w:rsid w:val="EFDFA832"/>
    <w:rsid w:val="EFE6ECFC"/>
    <w:rsid w:val="EFE771CC"/>
    <w:rsid w:val="EFEA78D7"/>
    <w:rsid w:val="EFF782FB"/>
    <w:rsid w:val="EFF7845E"/>
    <w:rsid w:val="EFFA3EE5"/>
    <w:rsid w:val="EFFF46F2"/>
    <w:rsid w:val="EFFF5B93"/>
    <w:rsid w:val="EFFFAA9B"/>
    <w:rsid w:val="EFFFE867"/>
    <w:rsid w:val="F1FDAC42"/>
    <w:rsid w:val="F24B09E6"/>
    <w:rsid w:val="F2F75ADE"/>
    <w:rsid w:val="F33B3C5E"/>
    <w:rsid w:val="F34F8F33"/>
    <w:rsid w:val="F35FD65B"/>
    <w:rsid w:val="F3B6C4E8"/>
    <w:rsid w:val="F3B7252E"/>
    <w:rsid w:val="F3DFC792"/>
    <w:rsid w:val="F3EAD5C1"/>
    <w:rsid w:val="F3FF1518"/>
    <w:rsid w:val="F59888D6"/>
    <w:rsid w:val="F5CA79B4"/>
    <w:rsid w:val="F5F71886"/>
    <w:rsid w:val="F5F924CC"/>
    <w:rsid w:val="F5FE487F"/>
    <w:rsid w:val="F619EDFA"/>
    <w:rsid w:val="F63C00F6"/>
    <w:rsid w:val="F65409BD"/>
    <w:rsid w:val="F6CFEE84"/>
    <w:rsid w:val="F6EF827B"/>
    <w:rsid w:val="F6FE2D54"/>
    <w:rsid w:val="F6FE66BE"/>
    <w:rsid w:val="F77DE027"/>
    <w:rsid w:val="F7A78C67"/>
    <w:rsid w:val="F7AF10FE"/>
    <w:rsid w:val="F7EB0BA0"/>
    <w:rsid w:val="F7EEE0F1"/>
    <w:rsid w:val="F7EF44B7"/>
    <w:rsid w:val="F7EF70D9"/>
    <w:rsid w:val="F7F32454"/>
    <w:rsid w:val="F7F78AB1"/>
    <w:rsid w:val="F7F94646"/>
    <w:rsid w:val="F7FA1278"/>
    <w:rsid w:val="F7FABE3C"/>
    <w:rsid w:val="F7FBAEBE"/>
    <w:rsid w:val="F89E48F2"/>
    <w:rsid w:val="F8B50713"/>
    <w:rsid w:val="F8BFCC14"/>
    <w:rsid w:val="F8E728CC"/>
    <w:rsid w:val="F8FFAB32"/>
    <w:rsid w:val="F95F0D20"/>
    <w:rsid w:val="F96FD9B8"/>
    <w:rsid w:val="F9C5C791"/>
    <w:rsid w:val="F9DAE166"/>
    <w:rsid w:val="F9DF745F"/>
    <w:rsid w:val="F9E6A9E3"/>
    <w:rsid w:val="F9FF4806"/>
    <w:rsid w:val="FA2EA89B"/>
    <w:rsid w:val="FAEBC37A"/>
    <w:rsid w:val="FAF72404"/>
    <w:rsid w:val="FAFBD93A"/>
    <w:rsid w:val="FAFEE55A"/>
    <w:rsid w:val="FB3E1552"/>
    <w:rsid w:val="FB6D49DD"/>
    <w:rsid w:val="FB6E079A"/>
    <w:rsid w:val="FB73ABDE"/>
    <w:rsid w:val="FB75DF27"/>
    <w:rsid w:val="FB77E818"/>
    <w:rsid w:val="FB7E255A"/>
    <w:rsid w:val="FBA990F7"/>
    <w:rsid w:val="FBD306EB"/>
    <w:rsid w:val="FBDEB854"/>
    <w:rsid w:val="FBED89B6"/>
    <w:rsid w:val="FBEF0A3C"/>
    <w:rsid w:val="FBEFB3C1"/>
    <w:rsid w:val="FBFC8A57"/>
    <w:rsid w:val="FBFC99FC"/>
    <w:rsid w:val="FBFE7F1E"/>
    <w:rsid w:val="FBFF2F91"/>
    <w:rsid w:val="FC45E45C"/>
    <w:rsid w:val="FC7F8FD9"/>
    <w:rsid w:val="FCBFFD5C"/>
    <w:rsid w:val="FCF6BCC0"/>
    <w:rsid w:val="FCFF330D"/>
    <w:rsid w:val="FCFFC225"/>
    <w:rsid w:val="FD6ED48B"/>
    <w:rsid w:val="FD776E14"/>
    <w:rsid w:val="FD7B30A3"/>
    <w:rsid w:val="FD9B9B5E"/>
    <w:rsid w:val="FD9CE9F0"/>
    <w:rsid w:val="FDAFAE30"/>
    <w:rsid w:val="FDDD8C9F"/>
    <w:rsid w:val="FDDF2EF2"/>
    <w:rsid w:val="FDDFDAFC"/>
    <w:rsid w:val="FDEA2873"/>
    <w:rsid w:val="FDEBD2FC"/>
    <w:rsid w:val="FDEE15ED"/>
    <w:rsid w:val="FDFB2796"/>
    <w:rsid w:val="FDFE3F96"/>
    <w:rsid w:val="FDFE5C10"/>
    <w:rsid w:val="FE2F3771"/>
    <w:rsid w:val="FE5C45E4"/>
    <w:rsid w:val="FE675DAF"/>
    <w:rsid w:val="FE734873"/>
    <w:rsid w:val="FE7F6307"/>
    <w:rsid w:val="FEB7F8DF"/>
    <w:rsid w:val="FEBF7968"/>
    <w:rsid w:val="FEBFC87B"/>
    <w:rsid w:val="FEBFD283"/>
    <w:rsid w:val="FED6E7A4"/>
    <w:rsid w:val="FEDE9870"/>
    <w:rsid w:val="FEEDE313"/>
    <w:rsid w:val="FEF6B538"/>
    <w:rsid w:val="FEFAE655"/>
    <w:rsid w:val="FEFFA6C2"/>
    <w:rsid w:val="FF3701DD"/>
    <w:rsid w:val="FF4EBFA9"/>
    <w:rsid w:val="FF575D16"/>
    <w:rsid w:val="FF5DA042"/>
    <w:rsid w:val="FF5FEEE1"/>
    <w:rsid w:val="FF6FB375"/>
    <w:rsid w:val="FF7198C6"/>
    <w:rsid w:val="FF76B109"/>
    <w:rsid w:val="FF7AA987"/>
    <w:rsid w:val="FF7BA860"/>
    <w:rsid w:val="FF7DBA31"/>
    <w:rsid w:val="FF7F8987"/>
    <w:rsid w:val="FF9B256E"/>
    <w:rsid w:val="FF9CB9AE"/>
    <w:rsid w:val="FFABD316"/>
    <w:rsid w:val="FFAF3E74"/>
    <w:rsid w:val="FFB79200"/>
    <w:rsid w:val="FFB9BB01"/>
    <w:rsid w:val="FFBB58BA"/>
    <w:rsid w:val="FFBD46BC"/>
    <w:rsid w:val="FFBDE9AC"/>
    <w:rsid w:val="FFBE472D"/>
    <w:rsid w:val="FFBEA076"/>
    <w:rsid w:val="FFBFB5FA"/>
    <w:rsid w:val="FFCEB320"/>
    <w:rsid w:val="FFDD2999"/>
    <w:rsid w:val="FFDEF381"/>
    <w:rsid w:val="FFDFA2F2"/>
    <w:rsid w:val="FFDFC233"/>
    <w:rsid w:val="FFE15027"/>
    <w:rsid w:val="FFE3918A"/>
    <w:rsid w:val="FFE80617"/>
    <w:rsid w:val="FFEE37D5"/>
    <w:rsid w:val="FFEF6922"/>
    <w:rsid w:val="FFEF8779"/>
    <w:rsid w:val="FFEF9525"/>
    <w:rsid w:val="FFF1F5A6"/>
    <w:rsid w:val="FFF3E4D2"/>
    <w:rsid w:val="FFF7DD94"/>
    <w:rsid w:val="FFF98D1B"/>
    <w:rsid w:val="FFFAC590"/>
    <w:rsid w:val="FFFD2C14"/>
    <w:rsid w:val="FFFDB078"/>
    <w:rsid w:val="FFFDCEAA"/>
    <w:rsid w:val="FFFDE581"/>
    <w:rsid w:val="FFFE73D4"/>
    <w:rsid w:val="FFFECD8B"/>
    <w:rsid w:val="FFFEEB6F"/>
    <w:rsid w:val="FFFEEC10"/>
    <w:rsid w:val="FFFF0D26"/>
    <w:rsid w:val="FFFF49D1"/>
    <w:rsid w:val="FFFF984A"/>
    <w:rsid w:val="FFFF9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adjustRightInd w:val="0"/>
      <w:snapToGrid w:val="0"/>
      <w:spacing w:line="440" w:lineRule="atLeast"/>
      <w:ind w:left="0" w:leftChars="0" w:firstLine="420" w:firstLineChars="200"/>
    </w:pPr>
    <w:rPr>
      <w:sz w:val="30"/>
    </w:rPr>
  </w:style>
  <w:style w:type="paragraph" w:styleId="3">
    <w:name w:val="Body Text Indent"/>
    <w:basedOn w:val="1"/>
    <w:next w:val="1"/>
    <w:qFormat/>
    <w:uiPriority w:val="0"/>
    <w:pPr>
      <w:spacing w:after="120"/>
      <w:ind w:left="420" w:leftChars="200"/>
    </w:pPr>
    <w:rPr>
      <w:rFonts w:ascii="Times New Roman" w:hAnsi="Times New Roman" w:eastAsia="宋体" w:cs="Times New Roman"/>
    </w:rPr>
  </w:style>
  <w:style w:type="paragraph" w:styleId="4">
    <w:name w:val="Body Text"/>
    <w:basedOn w:val="1"/>
    <w:next w:val="5"/>
    <w:qFormat/>
    <w:uiPriority w:val="0"/>
    <w:pPr>
      <w:widowControl w:val="0"/>
      <w:snapToGrid/>
      <w:spacing w:after="0"/>
      <w:jc w:val="center"/>
    </w:pPr>
    <w:rPr>
      <w:rFonts w:ascii="方正小标宋_GBK" w:hAnsi="Times New Roman" w:eastAsia="方正小标宋_GBK" w:cs="方正小标宋_GBK"/>
      <w:b/>
      <w:bCs/>
      <w:snapToGrid/>
      <w:kern w:val="2"/>
      <w:sz w:val="36"/>
      <w:szCs w:val="24"/>
      <w:lang w:val="en-US" w:eastAsia="zh-CN" w:bidi="ar-SA"/>
    </w:rPr>
  </w:style>
  <w:style w:type="paragraph" w:customStyle="1" w:styleId="5">
    <w:name w:val="Body Text 21"/>
    <w:basedOn w:val="1"/>
    <w:qFormat/>
    <w:uiPriority w:val="0"/>
    <w:pPr>
      <w:spacing w:after="120" w:afterLines="0" w:line="480" w:lineRule="auto"/>
    </w:pPr>
    <w:rPr>
      <w:rFonts w:ascii="Arial" w:hAnsi="Arial" w:cs="Times New Roman"/>
    </w:rPr>
  </w:style>
  <w:style w:type="paragraph" w:styleId="6">
    <w:name w:val="Balloon Text"/>
    <w:basedOn w:val="1"/>
    <w:link w:val="16"/>
    <w:semiHidden/>
    <w:qFormat/>
    <w:uiPriority w:val="99"/>
    <w:rPr>
      <w:rFonts w:ascii="Calibri" w:hAnsi="Calibri" w:eastAsia="宋体" w:cs="Calibri"/>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Emphasis"/>
    <w:qFormat/>
    <w:uiPriority w:val="0"/>
    <w:rPr>
      <w:i/>
    </w:rPr>
  </w:style>
  <w:style w:type="paragraph" w:customStyle="1" w:styleId="12">
    <w:name w:val="BodyText1I2"/>
    <w:semiHidden/>
    <w:qFormat/>
    <w:uiPriority w:val="0"/>
    <w:pPr>
      <w:spacing w:after="120"/>
      <w:ind w:left="420" w:leftChars="200" w:firstLine="420" w:firstLineChars="200"/>
      <w:jc w:val="both"/>
      <w:textAlignment w:val="baseline"/>
    </w:pPr>
    <w:rPr>
      <w:rFonts w:ascii="Times New Roman" w:hAnsi="Times New Roman" w:eastAsia="仿宋_GB2312" w:cs="Times New Roman"/>
      <w:kern w:val="2"/>
      <w:sz w:val="32"/>
      <w:szCs w:val="32"/>
      <w:lang w:val="en-US" w:eastAsia="zh-CN" w:bidi="ar-SA"/>
    </w:rPr>
  </w:style>
  <w:style w:type="paragraph" w:customStyle="1" w:styleId="13">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14">
    <w:name w:val="页眉 Char"/>
    <w:basedOn w:val="10"/>
    <w:link w:val="8"/>
    <w:qFormat/>
    <w:uiPriority w:val="99"/>
    <w:rPr>
      <w:sz w:val="18"/>
      <w:szCs w:val="18"/>
    </w:rPr>
  </w:style>
  <w:style w:type="character" w:customStyle="1" w:styleId="15">
    <w:name w:val="页脚 Char"/>
    <w:basedOn w:val="10"/>
    <w:link w:val="7"/>
    <w:qFormat/>
    <w:uiPriority w:val="99"/>
    <w:rPr>
      <w:sz w:val="18"/>
      <w:szCs w:val="18"/>
    </w:rPr>
  </w:style>
  <w:style w:type="character" w:customStyle="1" w:styleId="16">
    <w:name w:val="批注框文本 Char"/>
    <w:basedOn w:val="10"/>
    <w:link w:val="6"/>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52</Pages>
  <Words>3893</Words>
  <Characters>22196</Characters>
  <Lines>184</Lines>
  <Paragraphs>52</Paragraphs>
  <TotalTime>0</TotalTime>
  <ScaleCrop>false</ScaleCrop>
  <LinksUpToDate>false</LinksUpToDate>
  <CharactersWithSpaces>26037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2020-02-04T01:25:00Z</dcterms:created>
  <dc:creator>胡蕴桐</dc:creator>
  <cp:lastModifiedBy> </cp:lastModifiedBy>
  <cp:lastPrinted>2026-07-10T14:39:00Z</cp:lastPrinted>
  <dcterms:modified xsi:type="dcterms:W3CDTF">2026-07-09T16:34:11Z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