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2024年度中央对</w:t>
      </w:r>
      <w:r>
        <w:rPr>
          <w:rFonts w:hint="eastAsia" w:ascii="方正小标宋简体" w:hAnsi="方正小标宋简体" w:eastAsia="方正小标宋简体" w:cs="方正小标宋简体"/>
          <w:bCs/>
          <w:sz w:val="44"/>
          <w:szCs w:val="44"/>
        </w:rPr>
        <w:t>北京粮食风险基金转移支付</w:t>
      </w:r>
    </w:p>
    <w:p>
      <w:pPr>
        <w:snapToGrid w:val="0"/>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预算执行情况</w:t>
      </w:r>
      <w:r>
        <w:rPr>
          <w:rFonts w:hint="eastAsia" w:ascii="方正小标宋简体" w:hAnsi="方正小标宋简体" w:eastAsia="方正小标宋简体" w:cs="方正小标宋简体"/>
          <w:bCs/>
          <w:sz w:val="44"/>
          <w:szCs w:val="44"/>
        </w:rPr>
        <w:t>绩效自评报告</w:t>
      </w:r>
    </w:p>
    <w:p>
      <w:pPr>
        <w:snapToGrid w:val="0"/>
        <w:spacing w:line="560" w:lineRule="exact"/>
        <w:jc w:val="left"/>
        <w:rPr>
          <w:rFonts w:hint="eastAsia" w:ascii="方正小标宋简体" w:hAnsi="方正小标宋简体" w:eastAsia="方正小标宋简体" w:cs="方正小标宋简体"/>
          <w:bCs/>
          <w:sz w:val="36"/>
          <w:szCs w:val="44"/>
        </w:rPr>
      </w:pP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hint="eastAsia" w:ascii="黑体" w:hAnsi="黑体" w:eastAsia="黑体" w:cs="黑体"/>
          <w:bCs/>
          <w:sz w:val="32"/>
          <w:szCs w:val="32"/>
        </w:rPr>
      </w:pPr>
      <w:r>
        <w:rPr>
          <w:rFonts w:hint="eastAsia" w:ascii="黑体" w:hAnsi="黑体" w:eastAsia="黑体" w:cs="黑体"/>
          <w:bCs/>
          <w:sz w:val="32"/>
          <w:szCs w:val="32"/>
        </w:rPr>
        <w:t>一、</w:t>
      </w:r>
      <w:r>
        <w:rPr>
          <w:rFonts w:hint="eastAsia" w:ascii="黑体" w:hAnsi="黑体" w:eastAsia="黑体" w:cs="黑体"/>
          <w:bCs/>
          <w:sz w:val="32"/>
          <w:szCs w:val="32"/>
          <w:lang w:eastAsia="zh-CN"/>
        </w:rPr>
        <w:t>转移支付基本</w:t>
      </w:r>
      <w:r>
        <w:rPr>
          <w:rFonts w:hint="eastAsia" w:ascii="黑体" w:hAnsi="黑体" w:eastAsia="黑体" w:cs="黑体"/>
          <w:bCs/>
          <w:sz w:val="32"/>
          <w:szCs w:val="32"/>
        </w:rPr>
        <w:t>情况</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（一）粮食风险基金转移支付</w:t>
      </w:r>
      <w:r>
        <w:rPr>
          <w:rFonts w:hint="eastAsia" w:ascii="楷体_GB2312" w:hAnsi="楷体_GB2312" w:eastAsia="楷体_GB2312" w:cs="楷体_GB2312"/>
          <w:b w:val="0"/>
          <w:bCs w:val="0"/>
          <w:sz w:val="32"/>
          <w:szCs w:val="32"/>
          <w:lang w:eastAsia="zh-CN"/>
        </w:rPr>
        <w:t>概</w:t>
      </w:r>
      <w:r>
        <w:rPr>
          <w:rFonts w:hint="eastAsia" w:ascii="楷体_GB2312" w:hAnsi="楷体_GB2312" w:eastAsia="楷体_GB2312" w:cs="楷体_GB2312"/>
          <w:b w:val="0"/>
          <w:bCs w:val="0"/>
          <w:sz w:val="32"/>
          <w:szCs w:val="32"/>
        </w:rPr>
        <w:t>况</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ascii="仿宋_GB2312"/>
          <w:sz w:val="32"/>
          <w:szCs w:val="32"/>
        </w:rPr>
      </w:pPr>
      <w:r>
        <w:rPr>
          <w:rFonts w:hint="eastAsia" w:ascii="仿宋_GB2312"/>
          <w:sz w:val="32"/>
          <w:szCs w:val="32"/>
        </w:rPr>
        <w:t>为了加强对北京市储备粮的管理，保证北京市储备粮安全，保护农民利益，维护粮食市场稳定，按照《北京市粮食风险基金管理办法》（京财经建〔2023〕854号）的相关要求，北京市财政局（以下简称“市财政局”）负责安排市级粮食风险基金预算，明确资金使用范围、补贴标准和补助方式，确保及时足额筹集资金</w:t>
      </w:r>
      <w:r>
        <w:rPr>
          <w:rFonts w:hint="eastAsia" w:ascii="仿宋_GB2312"/>
          <w:sz w:val="32"/>
          <w:szCs w:val="32"/>
          <w:lang w:eastAsia="zh-CN"/>
        </w:rPr>
        <w:t>；</w:t>
      </w:r>
      <w:r>
        <w:rPr>
          <w:rFonts w:hint="eastAsia" w:ascii="仿宋_GB2312"/>
          <w:sz w:val="32"/>
          <w:szCs w:val="32"/>
        </w:rPr>
        <w:t>北京市粮食和物资储备局（以下简称“市粮食和储备局”）</w:t>
      </w:r>
      <w:r>
        <w:rPr>
          <w:rFonts w:hint="eastAsia" w:ascii="仿宋_GB2312"/>
          <w:sz w:val="32"/>
          <w:szCs w:val="32"/>
          <w:lang w:eastAsia="zh-CN"/>
        </w:rPr>
        <w:t>及</w:t>
      </w:r>
      <w:r>
        <w:rPr>
          <w:rFonts w:hint="eastAsia" w:ascii="仿宋_GB2312"/>
          <w:sz w:val="32"/>
          <w:szCs w:val="32"/>
        </w:rPr>
        <w:t>所属的政策性粮油购销企业北京市燕谷粮油购销有限责任公司（以下简称“燕谷公司”）根据市级储备粮（油）规模，负责资金核算管理以及费用补贴拨付工作。</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hint="eastAsia" w:ascii="方正楷体_GBK" w:hAnsi="方正楷体_GBK" w:eastAsia="方正楷体_GBK" w:cs="方正楷体_GBK"/>
          <w:b/>
          <w:bCs/>
          <w:sz w:val="32"/>
          <w:szCs w:val="32"/>
        </w:rPr>
      </w:pPr>
      <w:r>
        <w:rPr>
          <w:rFonts w:hint="eastAsia" w:ascii="仿宋_GB2312"/>
          <w:sz w:val="32"/>
          <w:szCs w:val="32"/>
          <w:highlight w:val="none"/>
        </w:rPr>
        <w:t>按照财政部《关于提前下达2024年粮食风险基金预算的通知》（财建〔2023〕339号）《关于下达2024年粮食风险基金预算的通知》（财建〔2024〕52号），中央财政共下达北京市2024年粮食风险基金补助款2388万元，该资金由中央财政直接拨付至市财政局在农发行北京市分行开设的粮食风险基金补贴专户中。</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（二）</w:t>
      </w:r>
      <w:r>
        <w:rPr>
          <w:rFonts w:hint="eastAsia" w:ascii="楷体_GB2312" w:hAnsi="楷体_GB2312" w:eastAsia="楷体_GB2312" w:cs="楷体_GB2312"/>
          <w:b w:val="0"/>
          <w:bCs w:val="0"/>
          <w:sz w:val="32"/>
          <w:szCs w:val="32"/>
        </w:rPr>
        <w:t>资金投入情况分析。</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仿宋_GB2312" w:hAnsi="仿宋_GB2312" w:cs="仿宋_GB2312"/>
          <w:sz w:val="32"/>
          <w:szCs w:val="32"/>
        </w:rPr>
      </w:pPr>
      <w:r>
        <w:rPr>
          <w:rFonts w:hint="eastAsia" w:ascii="仿宋_GB2312" w:hAnsi="仿宋_GB2312" w:cs="仿宋_GB2312"/>
          <w:sz w:val="32"/>
          <w:szCs w:val="32"/>
        </w:rPr>
        <w:t>1.项目资金</w:t>
      </w:r>
      <w:r>
        <w:rPr>
          <w:rFonts w:hint="eastAsia" w:ascii="仿宋_GB2312" w:hAnsi="仿宋_GB2312" w:cs="仿宋_GB2312"/>
          <w:sz w:val="32"/>
          <w:szCs w:val="32"/>
          <w:lang w:eastAsia="zh-CN"/>
        </w:rPr>
        <w:t>投入</w:t>
      </w:r>
      <w:r>
        <w:rPr>
          <w:rFonts w:hint="eastAsia" w:ascii="仿宋_GB2312" w:hAnsi="仿宋_GB2312" w:cs="仿宋_GB2312"/>
          <w:sz w:val="32"/>
          <w:szCs w:val="32"/>
        </w:rPr>
        <w:t>情况分析</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ascii="仿宋_GB2312"/>
          <w:sz w:val="32"/>
          <w:szCs w:val="32"/>
          <w:highlight w:val="none"/>
        </w:rPr>
      </w:pPr>
      <w:r>
        <w:rPr>
          <w:rFonts w:hint="eastAsia" w:ascii="仿宋_GB2312" w:hAnsi="仿宋_GB2312" w:cs="仿宋_GB2312"/>
          <w:sz w:val="32"/>
          <w:szCs w:val="32"/>
        </w:rPr>
        <w:t>2024年北京市粮食风险基金预算资金安排</w:t>
      </w:r>
      <w:r>
        <w:rPr>
          <w:rFonts w:hint="eastAsia" w:ascii="仿宋_GB2312"/>
          <w:sz w:val="32"/>
          <w:szCs w:val="32"/>
        </w:rPr>
        <w:t>91098.67</w:t>
      </w:r>
      <w:r>
        <w:rPr>
          <w:rFonts w:hint="eastAsia" w:ascii="仿宋_GB2312" w:hAnsi="仿宋_GB2312" w:cs="仿宋_GB2312"/>
          <w:sz w:val="32"/>
          <w:szCs w:val="32"/>
        </w:rPr>
        <w:t>万元，</w:t>
      </w:r>
      <w:r>
        <w:rPr>
          <w:rFonts w:hint="eastAsia" w:ascii="仿宋_GB2312" w:hAnsi="仿宋_GB2312" w:cs="仿宋_GB2312"/>
          <w:sz w:val="32"/>
          <w:szCs w:val="32"/>
          <w:lang w:eastAsia="zh-CN"/>
        </w:rPr>
        <w:t>其中：中央资金</w:t>
      </w:r>
      <w:r>
        <w:rPr>
          <w:rFonts w:hint="eastAsia" w:ascii="仿宋_GB2312" w:hAnsi="仿宋_GB2312" w:cs="仿宋_GB2312"/>
          <w:sz w:val="32"/>
          <w:szCs w:val="32"/>
          <w:lang w:val="en-US" w:eastAsia="zh-CN"/>
        </w:rPr>
        <w:t>2388万元，市级资金71089万</w:t>
      </w:r>
      <w:r>
        <w:rPr>
          <w:rFonts w:hint="eastAsia" w:ascii="仿宋_GB2312"/>
          <w:sz w:val="32"/>
          <w:szCs w:val="32"/>
        </w:rPr>
        <w:t>,</w:t>
      </w:r>
      <w:r>
        <w:rPr>
          <w:rFonts w:hint="eastAsia" w:ascii="仿宋_GB2312" w:hAnsi="仿宋_GB2312" w:cs="仿宋_GB2312"/>
          <w:sz w:val="32"/>
          <w:szCs w:val="32"/>
          <w:lang w:val="en-US" w:eastAsia="zh-CN"/>
        </w:rPr>
        <w:t>元，以前年度结转结余资金17621.67万元。</w:t>
      </w:r>
      <w:r>
        <w:rPr>
          <w:rFonts w:hint="eastAsia" w:ascii="仿宋_GB2312" w:hAnsi="仿宋_GB2312" w:cs="仿宋_GB2312"/>
          <w:sz w:val="32"/>
          <w:szCs w:val="32"/>
        </w:rPr>
        <w:t>截至2024年12月31日，</w:t>
      </w:r>
      <w:r>
        <w:rPr>
          <w:rFonts w:hint="eastAsia" w:ascii="仿宋_GB2312"/>
          <w:sz w:val="32"/>
          <w:szCs w:val="32"/>
          <w:highlight w:val="none"/>
        </w:rPr>
        <w:t>市财政局共拨付2024年市级储备粮油相关费用补贴</w:t>
      </w:r>
      <w:r>
        <w:rPr>
          <w:rFonts w:ascii="仿宋_GB2312"/>
          <w:sz w:val="32"/>
          <w:szCs w:val="32"/>
          <w:highlight w:val="none"/>
        </w:rPr>
        <w:t>79</w:t>
      </w:r>
      <w:r>
        <w:rPr>
          <w:rFonts w:hint="eastAsia" w:ascii="仿宋_GB2312"/>
          <w:sz w:val="32"/>
          <w:szCs w:val="32"/>
          <w:highlight w:val="none"/>
          <w:lang w:val="en-US" w:eastAsia="zh-CN"/>
        </w:rPr>
        <w:t>840.55</w:t>
      </w:r>
      <w:r>
        <w:rPr>
          <w:rFonts w:hint="eastAsia" w:ascii="仿宋_GB2312"/>
          <w:sz w:val="32"/>
          <w:szCs w:val="32"/>
          <w:highlight w:val="none"/>
        </w:rPr>
        <w:t>万元，其中：市级储备粮油费用补贴54656.86万元；市储备粮油农发行贷款利息</w:t>
      </w:r>
      <w:r>
        <w:rPr>
          <w:rFonts w:ascii="仿宋_GB2312"/>
          <w:color w:val="auto"/>
          <w:sz w:val="32"/>
          <w:szCs w:val="32"/>
          <w:highlight w:val="none"/>
        </w:rPr>
        <w:t>24</w:t>
      </w:r>
      <w:r>
        <w:rPr>
          <w:rFonts w:hint="eastAsia" w:ascii="仿宋_GB2312"/>
          <w:color w:val="auto"/>
          <w:sz w:val="32"/>
          <w:szCs w:val="32"/>
          <w:highlight w:val="none"/>
          <w:lang w:val="en-US" w:eastAsia="zh-CN"/>
        </w:rPr>
        <w:t>243.79</w:t>
      </w:r>
      <w:r>
        <w:rPr>
          <w:rFonts w:hint="eastAsia" w:ascii="仿宋_GB2312"/>
          <w:sz w:val="32"/>
          <w:szCs w:val="32"/>
          <w:highlight w:val="none"/>
        </w:rPr>
        <w:t>万元，粮食产销合作专项资金补助</w:t>
      </w:r>
      <w:r>
        <w:rPr>
          <w:rFonts w:ascii="仿宋_GB2312"/>
          <w:sz w:val="32"/>
          <w:szCs w:val="32"/>
          <w:highlight w:val="none"/>
        </w:rPr>
        <w:t>588.65</w:t>
      </w:r>
      <w:r>
        <w:rPr>
          <w:rFonts w:hint="eastAsia" w:ascii="仿宋_GB2312"/>
          <w:sz w:val="32"/>
          <w:szCs w:val="32"/>
          <w:highlight w:val="none"/>
        </w:rPr>
        <w:t>万元，粮食仓储设施维修专项资金补助</w:t>
      </w:r>
      <w:r>
        <w:rPr>
          <w:rFonts w:ascii="仿宋_GB2312"/>
          <w:sz w:val="32"/>
          <w:szCs w:val="32"/>
          <w:highlight w:val="none"/>
        </w:rPr>
        <w:t>351.25</w:t>
      </w:r>
      <w:r>
        <w:rPr>
          <w:rFonts w:hint="eastAsia" w:ascii="仿宋_GB2312"/>
          <w:sz w:val="32"/>
          <w:szCs w:val="32"/>
          <w:highlight w:val="none"/>
        </w:rPr>
        <w:t>万元。</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仿宋_GB2312" w:hAnsi="仿宋_GB2312" w:cs="仿宋_GB2312"/>
          <w:sz w:val="32"/>
          <w:szCs w:val="32"/>
        </w:rPr>
      </w:pPr>
      <w:r>
        <w:rPr>
          <w:rFonts w:hint="eastAsia" w:ascii="仿宋_GB2312" w:hAnsi="仿宋_GB2312" w:cs="仿宋_GB2312"/>
          <w:sz w:val="32"/>
          <w:szCs w:val="32"/>
        </w:rPr>
        <w:t>2.项目资金执行情况分析</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仿宋_GB2312" w:hAnsi="仿宋_GB2312" w:cs="仿宋_GB2312"/>
          <w:sz w:val="32"/>
          <w:szCs w:val="32"/>
          <w:highlight w:val="none"/>
        </w:rPr>
      </w:pPr>
      <w:r>
        <w:rPr>
          <w:rFonts w:hint="eastAsia" w:ascii="仿宋_GB2312" w:hAnsi="仿宋_GB2312" w:cs="仿宋_GB2312"/>
          <w:sz w:val="32"/>
          <w:szCs w:val="32"/>
        </w:rPr>
        <w:t>市粮食和储备局、</w:t>
      </w:r>
      <w:r>
        <w:rPr>
          <w:rFonts w:hint="eastAsia" w:ascii="仿宋_GB2312" w:hAnsi="仿宋_GB2312" w:cs="仿宋_GB2312"/>
          <w:sz w:val="32"/>
          <w:szCs w:val="32"/>
          <w:lang w:eastAsia="zh-CN"/>
        </w:rPr>
        <w:t>农发行北京市分行、</w:t>
      </w:r>
      <w:r>
        <w:rPr>
          <w:rFonts w:hint="eastAsia" w:ascii="仿宋_GB2312" w:hAnsi="仿宋_GB2312" w:cs="仿宋_GB2312"/>
          <w:sz w:val="32"/>
          <w:szCs w:val="32"/>
        </w:rPr>
        <w:t>燕谷公司按照《关于印发〈北京市储备粮轮换费用补贴资金使用管理暂行规定〉的通知》《关于改变本市地方储备粮油利息补贴办法的通知》等文件规范资金管理与使用，</w:t>
      </w:r>
      <w:r>
        <w:rPr>
          <w:rFonts w:hint="eastAsia" w:ascii="仿宋_GB2312" w:hAnsi="仿宋_GB2312" w:cs="仿宋_GB2312"/>
          <w:sz w:val="32"/>
          <w:szCs w:val="32"/>
          <w:lang w:eastAsia="zh-CN"/>
        </w:rPr>
        <w:t>燕谷公司</w:t>
      </w:r>
      <w:r>
        <w:rPr>
          <w:rFonts w:hint="eastAsia" w:ascii="仿宋_GB2312" w:hAnsi="仿宋_GB2312" w:cs="仿宋_GB2312"/>
          <w:sz w:val="32"/>
          <w:szCs w:val="32"/>
          <w:highlight w:val="none"/>
        </w:rPr>
        <w:t>全年实际支出52228.53万元，其中：使用当年收入支出34606.86万元，使用上年结余支出</w:t>
      </w:r>
      <w:r>
        <w:rPr>
          <w:rFonts w:hint="eastAsia" w:ascii="仿宋_GB2312" w:hAnsi="仿宋_GB2312" w:cs="仿宋_GB2312"/>
          <w:color w:val="auto"/>
          <w:sz w:val="32"/>
          <w:szCs w:val="32"/>
          <w:highlight w:val="none"/>
        </w:rPr>
        <w:t>17621.67</w:t>
      </w:r>
      <w:r>
        <w:rPr>
          <w:rFonts w:hint="eastAsia" w:ascii="仿宋_GB2312" w:hAnsi="仿宋_GB2312" w:cs="仿宋_GB2312"/>
          <w:sz w:val="32"/>
          <w:szCs w:val="32"/>
          <w:highlight w:val="none"/>
        </w:rPr>
        <w:t>万元，具体为：市级储备粮油</w:t>
      </w:r>
      <w:r>
        <w:rPr>
          <w:rFonts w:hint="eastAsia" w:ascii="仿宋_GB2312" w:hAnsi="仿宋_GB2312" w:cs="仿宋_GB2312"/>
          <w:sz w:val="32"/>
          <w:szCs w:val="32"/>
          <w:highlight w:val="none"/>
          <w:lang w:eastAsia="zh-CN"/>
        </w:rPr>
        <w:t>费用补贴支出</w:t>
      </w:r>
      <w:r>
        <w:rPr>
          <w:rFonts w:hint="eastAsia" w:ascii="仿宋_GB2312" w:hAnsi="仿宋_GB2312" w:cs="仿宋_GB2312"/>
          <w:sz w:val="32"/>
          <w:szCs w:val="32"/>
          <w:highlight w:val="none"/>
        </w:rPr>
        <w:t>51288.63</w:t>
      </w:r>
      <w:r>
        <w:rPr>
          <w:rFonts w:hint="eastAsia" w:ascii="仿宋_GB2312" w:hAnsi="仿宋_GB2312" w:cs="仿宋_GB2312"/>
          <w:sz w:val="32"/>
          <w:szCs w:val="32"/>
          <w:highlight w:val="none"/>
          <w:lang w:val="en-US" w:eastAsia="zh-CN"/>
        </w:rPr>
        <w:t>万元</w:t>
      </w:r>
      <w:r>
        <w:rPr>
          <w:rFonts w:hint="eastAsia" w:ascii="仿宋_GB2312" w:hAnsi="仿宋_GB2312" w:cs="仿宋_GB2312"/>
          <w:sz w:val="32"/>
          <w:szCs w:val="32"/>
          <w:highlight w:val="none"/>
        </w:rPr>
        <w:t>，粮食产销合作专项资金补助588.65万元，粮食仓储设施维修专项资金补助351.25万元</w:t>
      </w:r>
      <w:r>
        <w:rPr>
          <w:rFonts w:hint="eastAsia" w:ascii="仿宋_GB2312" w:hAnsi="仿宋_GB2312" w:cs="仿宋_GB2312"/>
          <w:sz w:val="32"/>
          <w:szCs w:val="32"/>
          <w:highlight w:val="none"/>
          <w:lang w:eastAsia="zh-CN"/>
        </w:rPr>
        <w:t>。市财政局与</w:t>
      </w:r>
      <w:r>
        <w:rPr>
          <w:rFonts w:hint="eastAsia" w:ascii="仿宋_GB2312" w:hAnsi="仿宋_GB2312" w:cs="仿宋_GB2312"/>
          <w:sz w:val="32"/>
          <w:szCs w:val="32"/>
          <w:highlight w:val="none"/>
        </w:rPr>
        <w:t>农发行北京市分行</w:t>
      </w:r>
      <w:r>
        <w:rPr>
          <w:rFonts w:hint="eastAsia" w:ascii="仿宋_GB2312" w:hAnsi="仿宋_GB2312" w:cs="仿宋_GB2312"/>
          <w:sz w:val="32"/>
          <w:szCs w:val="32"/>
          <w:highlight w:val="none"/>
          <w:lang w:eastAsia="zh-CN"/>
        </w:rPr>
        <w:t>直接结算</w:t>
      </w:r>
      <w:r>
        <w:rPr>
          <w:rFonts w:hint="eastAsia" w:ascii="仿宋_GB2312" w:hAnsi="仿宋_GB2312" w:cs="仿宋_GB2312"/>
          <w:sz w:val="32"/>
          <w:szCs w:val="32"/>
          <w:highlight w:val="none"/>
        </w:rPr>
        <w:t>贷款利息</w:t>
      </w:r>
      <w:r>
        <w:rPr>
          <w:rFonts w:hint="eastAsia" w:ascii="仿宋_GB2312"/>
          <w:color w:val="auto"/>
          <w:sz w:val="32"/>
          <w:szCs w:val="32"/>
          <w:highlight w:val="none"/>
        </w:rPr>
        <w:t>24</w:t>
      </w:r>
      <w:r>
        <w:rPr>
          <w:rFonts w:hint="eastAsia" w:ascii="仿宋_GB2312"/>
          <w:color w:val="auto"/>
          <w:sz w:val="32"/>
          <w:szCs w:val="32"/>
          <w:highlight w:val="none"/>
          <w:lang w:val="en-US" w:eastAsia="zh-CN"/>
        </w:rPr>
        <w:t>243.79</w:t>
      </w:r>
      <w:r>
        <w:rPr>
          <w:rFonts w:hint="eastAsia" w:ascii="仿宋_GB2312"/>
          <w:color w:val="auto"/>
          <w:sz w:val="32"/>
          <w:szCs w:val="32"/>
          <w:highlight w:val="none"/>
        </w:rPr>
        <w:t>万元</w:t>
      </w:r>
      <w:r>
        <w:rPr>
          <w:rFonts w:hint="eastAsia" w:ascii="仿宋_GB2312" w:hAnsi="仿宋_GB2312" w:cs="仿宋_GB2312"/>
          <w:sz w:val="32"/>
          <w:szCs w:val="32"/>
          <w:highlight w:val="none"/>
        </w:rPr>
        <w:t>。</w:t>
      </w:r>
    </w:p>
    <w:p>
      <w:pPr>
        <w:keepNext w:val="0"/>
        <w:keepLines w:val="0"/>
        <w:pageBreakBefore w:val="0"/>
        <w:numPr>
          <w:ilvl w:val="-1"/>
          <w:numId w:val="0"/>
        </w:numPr>
        <w:kinsoku/>
        <w:wordWrap/>
        <w:overflowPunct/>
        <w:topLinePunct w:val="0"/>
        <w:autoSpaceDE/>
        <w:autoSpaceDN/>
        <w:bidi w:val="0"/>
        <w:adjustRightInd/>
        <w:snapToGrid w:val="0"/>
        <w:spacing w:line="560" w:lineRule="exact"/>
        <w:ind w:firstLine="640" w:firstLineChars="200"/>
        <w:jc w:val="left"/>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（三）</w:t>
      </w:r>
      <w:r>
        <w:rPr>
          <w:rFonts w:hint="eastAsia" w:ascii="楷体_GB2312" w:hAnsi="楷体_GB2312" w:eastAsia="楷体_GB2312" w:cs="楷体_GB2312"/>
          <w:b w:val="0"/>
          <w:bCs w:val="0"/>
          <w:sz w:val="32"/>
          <w:szCs w:val="32"/>
        </w:rPr>
        <w:t>资金管理情况分析。</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仿宋_GB2312" w:hAnsi="仿宋_GB2312" w:cs="仿宋_GB2312"/>
          <w:sz w:val="32"/>
          <w:szCs w:val="32"/>
        </w:rPr>
      </w:pPr>
      <w:r>
        <w:rPr>
          <w:rFonts w:hint="eastAsia" w:ascii="仿宋_GB2312" w:hAnsi="仿宋_GB2312" w:cs="仿宋_GB2312"/>
          <w:sz w:val="32"/>
          <w:szCs w:val="32"/>
          <w:lang w:eastAsia="zh-CN"/>
        </w:rPr>
        <w:t>资金分配下达及时。</w:t>
      </w:r>
      <w:r>
        <w:rPr>
          <w:rFonts w:hint="eastAsia" w:ascii="仿宋_GB2312" w:hAnsi="仿宋_GB2312" w:cs="仿宋_GB2312"/>
          <w:sz w:val="32"/>
          <w:szCs w:val="32"/>
        </w:rPr>
        <w:t>北京市2024年粮食风险基金分解下达符合相关管理办法，及时、足额保障市储备粮存费轮换</w:t>
      </w:r>
      <w:r>
        <w:rPr>
          <w:rFonts w:hint="eastAsia" w:ascii="仿宋_GB2312" w:hAnsi="仿宋_GB2312" w:cs="仿宋_GB2312"/>
          <w:sz w:val="32"/>
          <w:szCs w:val="32"/>
          <w:lang w:eastAsia="zh-CN"/>
        </w:rPr>
        <w:t>费</w:t>
      </w:r>
      <w:r>
        <w:rPr>
          <w:rFonts w:hint="eastAsia" w:ascii="仿宋_GB2312" w:hAnsi="仿宋_GB2312" w:cs="仿宋_GB2312"/>
          <w:sz w:val="32"/>
          <w:szCs w:val="32"/>
        </w:rPr>
        <w:t>、贷款利息等相关粮食补贴资金及其他补贴资金发放。</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仿宋_GB2312" w:hAnsi="仿宋_GB2312" w:cs="仿宋_GB2312"/>
          <w:sz w:val="32"/>
          <w:szCs w:val="32"/>
        </w:rPr>
      </w:pPr>
      <w:r>
        <w:rPr>
          <w:rFonts w:hint="eastAsia" w:ascii="仿宋_GB2312" w:hAnsi="仿宋_GB2312" w:cs="仿宋_GB2312"/>
          <w:sz w:val="32"/>
          <w:szCs w:val="32"/>
        </w:rPr>
        <w:t>资金拨付</w:t>
      </w:r>
      <w:r>
        <w:rPr>
          <w:rFonts w:hint="eastAsia" w:ascii="仿宋_GB2312" w:hAnsi="仿宋_GB2312" w:cs="仿宋_GB2312"/>
          <w:sz w:val="32"/>
          <w:szCs w:val="32"/>
          <w:lang w:eastAsia="zh-CN"/>
        </w:rPr>
        <w:t>使用</w:t>
      </w:r>
      <w:r>
        <w:rPr>
          <w:rFonts w:hint="eastAsia" w:ascii="仿宋_GB2312" w:hAnsi="仿宋_GB2312" w:cs="仿宋_GB2312"/>
          <w:sz w:val="32"/>
          <w:szCs w:val="32"/>
        </w:rPr>
        <w:t>严格。燕谷公司每季度结束后根据市储备粮轮换情况、财务账面价差向市粮食和储备局提出价差补贴申请。市粮食和储备局根据市级储备粮（油）规模，按季度向市财政局申请市储备粮存费、轮换费用补贴，以及价差补贴等。市财政局根据市粮食和储备局提交的市储备粮费用补贴申请，按期拨付资金。</w:t>
      </w:r>
    </w:p>
    <w:p>
      <w:pPr>
        <w:keepNext w:val="0"/>
        <w:keepLines w:val="0"/>
        <w:pageBreakBefore w:val="0"/>
        <w:kinsoku/>
        <w:wordWrap/>
        <w:overflowPunct/>
        <w:topLinePunct w:val="0"/>
        <w:autoSpaceDE/>
        <w:autoSpaceDN/>
        <w:bidi w:val="0"/>
        <w:adjustRightInd/>
        <w:snapToGrid w:val="0"/>
        <w:spacing w:line="560" w:lineRule="exact"/>
        <w:ind w:firstLine="0" w:firstLineChars="0"/>
        <w:jc w:val="left"/>
        <w:textAlignment w:val="auto"/>
        <w:outlineLvl w:val="0"/>
        <w:rPr>
          <w:rFonts w:hint="eastAsia" w:ascii="仿宋_GB2312" w:hAnsi="仿宋_GB2312" w:cs="仿宋_GB2312"/>
          <w:sz w:val="32"/>
          <w:szCs w:val="32"/>
        </w:rPr>
      </w:pPr>
      <w:r>
        <w:rPr>
          <w:rFonts w:hint="eastAsia" w:ascii="仿宋_GB2312" w:hAnsi="仿宋_GB2312" w:cs="仿宋_GB2312"/>
          <w:sz w:val="32"/>
          <w:szCs w:val="32"/>
        </w:rPr>
        <w:t>市财政局根据农发行北京市分行提供的季度结息清单，将利息补贴资金拨至农发行北京市分行。</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仿宋_GB2312" w:hAnsi="仿宋_GB2312" w:cs="仿宋_GB2312"/>
          <w:sz w:val="32"/>
          <w:szCs w:val="32"/>
        </w:rPr>
      </w:pPr>
      <w:r>
        <w:rPr>
          <w:rFonts w:hint="eastAsia" w:ascii="仿宋_GB2312" w:hAnsi="仿宋_GB2312" w:cs="仿宋_GB2312"/>
          <w:sz w:val="32"/>
          <w:szCs w:val="32"/>
        </w:rPr>
        <w:t>项目管理制度健全。北京市政府以政府令颁布了《北京市储备粮管理办法》，进一步加强储备粮及资金管理；为加强完善粮食风险基金管理，</w:t>
      </w:r>
      <w:r>
        <w:rPr>
          <w:rFonts w:hint="eastAsia" w:ascii="仿宋_GB2312" w:hAnsi="仿宋_GB2312" w:cs="仿宋_GB2312"/>
          <w:sz w:val="32"/>
          <w:szCs w:val="32"/>
          <w:highlight w:val="none"/>
        </w:rPr>
        <w:t>市财政局、市发展和改革委、市粮食和储备局、</w:t>
      </w:r>
      <w:r>
        <w:rPr>
          <w:rFonts w:hint="eastAsia" w:ascii="仿宋_GB2312" w:hAnsi="仿宋_GB2312" w:cs="仿宋_GB2312"/>
          <w:sz w:val="32"/>
          <w:szCs w:val="32"/>
          <w:highlight w:val="none"/>
          <w:lang w:eastAsia="zh-CN"/>
        </w:rPr>
        <w:t>农发行</w:t>
      </w:r>
      <w:r>
        <w:rPr>
          <w:rFonts w:hint="eastAsia" w:ascii="仿宋_GB2312" w:hAnsi="仿宋_GB2312" w:cs="仿宋_GB2312"/>
          <w:sz w:val="32"/>
          <w:szCs w:val="32"/>
          <w:highlight w:val="none"/>
        </w:rPr>
        <w:t>北京市分行</w:t>
      </w:r>
      <w:r>
        <w:rPr>
          <w:rFonts w:hint="eastAsia" w:ascii="仿宋_GB2312" w:hAnsi="仿宋_GB2312" w:cs="仿宋_GB2312"/>
          <w:sz w:val="32"/>
          <w:szCs w:val="32"/>
        </w:rPr>
        <w:t>对现行管理制度进行修订，共同印发《北京市粮食风险基金管理办法》；市财政局、市粮食和储备局共同制定市储备粮补贴标准相关文件；市粮食和储备局、市财政局、农发行北京分行联合印发《北京市市级储备粮轮换管理办法》；市粮食和储备局制定了《北京市储备粮轮换工作流程图》、《北京市储备粮竞价交易办法》等系列管理文件；农发行北京市分行、市粮食和储备局制定了《北京市燕谷粮油购销公司市储备粮贷款管理办法》。通过建立健全各项制度，加强对市储备粮的轮换、存储、费用补贴拨付等管理工作，强化对粮食风险基金的管理和使用监督。</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仿宋_GB2312" w:hAnsi="仿宋_GB2312" w:cs="仿宋_GB2312"/>
          <w:sz w:val="32"/>
          <w:szCs w:val="32"/>
        </w:rPr>
      </w:pPr>
      <w:r>
        <w:rPr>
          <w:rFonts w:hint="eastAsia" w:ascii="仿宋_GB2312" w:hAnsi="仿宋_GB2312" w:cs="仿宋_GB2312"/>
          <w:sz w:val="32"/>
          <w:szCs w:val="32"/>
        </w:rPr>
        <w:t>制度执行</w:t>
      </w:r>
      <w:r>
        <w:rPr>
          <w:rFonts w:hint="eastAsia" w:ascii="仿宋_GB2312" w:hAnsi="仿宋_GB2312" w:cs="仿宋_GB2312"/>
          <w:sz w:val="32"/>
          <w:szCs w:val="32"/>
          <w:lang w:eastAsia="zh-CN"/>
        </w:rPr>
        <w:t>完整</w:t>
      </w:r>
      <w:r>
        <w:rPr>
          <w:rFonts w:hint="eastAsia" w:ascii="仿宋_GB2312" w:hAnsi="仿宋_GB2312" w:cs="仿宋_GB2312"/>
          <w:sz w:val="32"/>
          <w:szCs w:val="32"/>
        </w:rPr>
        <w:t>有效。严格执行《财政部 国家发展改革委 国家粮食和储备局 中国农业发展银行关于印发〈粮食风险基金管理办法〉的通知》、《北京市粮食风险基金管理办法》，以及北京市市储备粮管理办法及补贴标准相关文件。市粮食和储备局组织落实年度轮换计划，开展市储备粮轮换、存储、监管等管理工作，确保市储备粮数量、质量安全。燕谷公司根据市储备粮油出入库情况、月末库存数量等计提存费、轮换费，并按季度拨付承储企业。燕谷公司按季度申请价差补贴，待市财政局拨付到位后及时归还农发行贷款。</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仿宋_GB2312" w:hAnsi="仿宋_GB2312" w:cs="仿宋_GB2312"/>
          <w:kern w:val="0"/>
          <w:sz w:val="32"/>
          <w:szCs w:val="32"/>
          <w:lang w:val="zh-TW"/>
        </w:rPr>
      </w:pPr>
      <w:r>
        <w:rPr>
          <w:rFonts w:hint="eastAsia" w:ascii="仿宋_GB2312" w:hAnsi="仿宋_GB2312" w:cs="仿宋_GB2312"/>
          <w:sz w:val="32"/>
          <w:szCs w:val="32"/>
          <w:lang w:eastAsia="zh-CN"/>
        </w:rPr>
        <w:t>严格履行支出责任</w:t>
      </w:r>
      <w:r>
        <w:rPr>
          <w:rFonts w:hint="eastAsia" w:ascii="仿宋_GB2312" w:hAnsi="仿宋_GB2312" w:cs="仿宋_GB2312"/>
          <w:sz w:val="32"/>
          <w:szCs w:val="32"/>
        </w:rPr>
        <w:t>。燕谷公司按照《北京市粮食风险基金管理办法》，在农发行北京市分行营业部开立补贴资金专户，财政拨付补贴资金全部划入该专户管理，补贴支出全部通过该专户支出，确保资金安全。项目执行严格做到单独核算、专款专用，从资金下达、财务立账、费用审批、会计核算、财务决算等环节严格把关，按有关财经法规落实财务管理工作，并定期监督资金的使用和落实情况。</w:t>
      </w:r>
      <w:r>
        <w:rPr>
          <w:rFonts w:hint="eastAsia"/>
          <w:sz w:val="32"/>
          <w:szCs w:val="32"/>
        </w:rPr>
        <w:t>市粮食和储备局</w:t>
      </w:r>
      <w:r>
        <w:rPr>
          <w:rFonts w:hint="eastAsia"/>
          <w:sz w:val="32"/>
          <w:szCs w:val="32"/>
          <w:lang w:eastAsia="zh-CN"/>
        </w:rPr>
        <w:t>每年</w:t>
      </w:r>
      <w:r>
        <w:rPr>
          <w:rFonts w:hint="eastAsia"/>
          <w:sz w:val="32"/>
          <w:szCs w:val="32"/>
        </w:rPr>
        <w:t>对粮食风险基金中有关市储备粮费用补贴等专项资金情况进行审计，</w:t>
      </w:r>
      <w:r>
        <w:rPr>
          <w:rFonts w:hint="eastAsia" w:ascii="仿宋_GB2312" w:hAnsi="仿宋_GB2312" w:cs="仿宋_GB2312"/>
          <w:sz w:val="32"/>
          <w:szCs w:val="32"/>
        </w:rPr>
        <w:t>确保财务信息质量准确</w:t>
      </w:r>
      <w:r>
        <w:rPr>
          <w:rFonts w:hint="eastAsia" w:ascii="仿宋_GB2312" w:hAnsi="仿宋_GB2312" w:cs="仿宋_GB2312"/>
          <w:sz w:val="32"/>
          <w:szCs w:val="32"/>
          <w:lang w:eastAsia="zh-CN"/>
        </w:rPr>
        <w:t>，</w:t>
      </w:r>
      <w:r>
        <w:rPr>
          <w:rFonts w:hint="eastAsia" w:ascii="仿宋_GB2312" w:hAnsi="仿宋_GB2312" w:cs="仿宋_GB2312"/>
          <w:sz w:val="32"/>
          <w:szCs w:val="32"/>
        </w:rPr>
        <w:t>专项资金使用管理规范，</w:t>
      </w:r>
      <w:r>
        <w:rPr>
          <w:rFonts w:hint="eastAsia"/>
          <w:sz w:val="32"/>
          <w:szCs w:val="32"/>
        </w:rPr>
        <w:t>对市储备粮费用补贴到位、使用、结余情况提出审计意见，出具年度审计报告。</w:t>
      </w:r>
    </w:p>
    <w:p>
      <w:pPr>
        <w:keepNext w:val="0"/>
        <w:keepLines w:val="0"/>
        <w:pageBreakBefore w:val="0"/>
        <w:numPr>
          <w:ilvl w:val="-1"/>
          <w:numId w:val="0"/>
        </w:numPr>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方正黑体_GBK" w:hAnsi="方正黑体_GBK" w:eastAsia="方正黑体_GBK" w:cs="方正黑体_GBK"/>
          <w:b w:val="0"/>
          <w:bCs w:val="0"/>
          <w:sz w:val="32"/>
          <w:szCs w:val="32"/>
          <w:lang w:eastAsia="zh-CN"/>
        </w:rPr>
      </w:pPr>
      <w:r>
        <w:rPr>
          <w:rFonts w:hint="eastAsia" w:ascii="方正黑体_GBK" w:hAnsi="方正黑体_GBK" w:eastAsia="方正黑体_GBK" w:cs="方正黑体_GBK"/>
          <w:b w:val="0"/>
          <w:bCs w:val="0"/>
          <w:sz w:val="32"/>
          <w:szCs w:val="32"/>
          <w:lang w:eastAsia="zh-CN"/>
        </w:rPr>
        <w:t>二、绩效目标实现情况</w:t>
      </w:r>
    </w:p>
    <w:p>
      <w:pPr>
        <w:keepNext w:val="0"/>
        <w:keepLines w:val="0"/>
        <w:pageBreakBefore w:val="0"/>
        <w:numPr>
          <w:ilvl w:val="-1"/>
          <w:numId w:val="0"/>
        </w:numPr>
        <w:kinsoku/>
        <w:wordWrap/>
        <w:overflowPunct/>
        <w:topLinePunct w:val="0"/>
        <w:autoSpaceDE/>
        <w:autoSpaceDN/>
        <w:bidi w:val="0"/>
        <w:adjustRightInd/>
        <w:snapToGrid w:val="0"/>
        <w:spacing w:line="560" w:lineRule="exact"/>
        <w:ind w:firstLine="640" w:firstLineChars="200"/>
        <w:jc w:val="left"/>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（一）</w:t>
      </w:r>
      <w:r>
        <w:rPr>
          <w:rFonts w:hint="eastAsia" w:ascii="楷体_GB2312" w:hAnsi="楷体_GB2312" w:eastAsia="楷体_GB2312" w:cs="楷体_GB2312"/>
          <w:b w:val="0"/>
          <w:bCs w:val="0"/>
          <w:sz w:val="32"/>
          <w:szCs w:val="32"/>
        </w:rPr>
        <w:t>总体绩效目标完成情况分析。</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hint="eastAsia" w:ascii="仿宋_GB2312" w:hAnsi="仿宋_GB2312" w:cs="仿宋_GB2312"/>
          <w:sz w:val="32"/>
          <w:szCs w:val="32"/>
        </w:rPr>
      </w:pPr>
      <w:r>
        <w:rPr>
          <w:rFonts w:hint="eastAsia" w:ascii="仿宋_GB2312" w:hAnsi="仿宋_GB2312" w:cs="仿宋_GB2312"/>
          <w:sz w:val="32"/>
          <w:szCs w:val="32"/>
        </w:rPr>
        <w:t>保障地方粮食储备，落实增储任务，有力稳定本市粮油市场与粮食价格，维护粮食流通秩序。北京市落实储备粮增储任务到位。市粮食和储备局严格落实北京市粮油储备任务，利用市储备粮油轮换机制，调节市场供求和价格，保持粮食市场平稳运行，202</w:t>
      </w:r>
      <w:r>
        <w:rPr>
          <w:rFonts w:ascii="仿宋_GB2312" w:hAnsi="仿宋_GB2312" w:cs="仿宋_GB2312"/>
          <w:sz w:val="32"/>
          <w:szCs w:val="32"/>
        </w:rPr>
        <w:t>4</w:t>
      </w:r>
      <w:r>
        <w:rPr>
          <w:rFonts w:hint="eastAsia" w:ascii="仿宋_GB2312" w:hAnsi="仿宋_GB2312" w:cs="仿宋_GB2312"/>
          <w:sz w:val="32"/>
          <w:szCs w:val="32"/>
        </w:rPr>
        <w:t>年共举行市储备粮油竞价交易会16次，异地代购代储</w:t>
      </w:r>
      <w:r>
        <w:rPr>
          <w:rFonts w:ascii="仿宋_GB2312" w:hAnsi="仿宋_GB2312" w:cs="仿宋_GB2312"/>
          <w:sz w:val="32"/>
          <w:szCs w:val="32"/>
        </w:rPr>
        <w:t>2</w:t>
      </w:r>
      <w:r>
        <w:rPr>
          <w:rFonts w:hint="eastAsia" w:ascii="仿宋_GB2312" w:hAnsi="仿宋_GB2312" w:cs="仿宋_GB2312"/>
          <w:sz w:val="32"/>
          <w:szCs w:val="32"/>
        </w:rPr>
        <w:t>次，郊区收购转储1次，轮出原粮54.44万吨、原油1.55万吨；轮入原粮52.17万吨、原油2.55万吨。完成年度总体绩效目标。</w:t>
      </w:r>
    </w:p>
    <w:p>
      <w:pPr>
        <w:keepNext w:val="0"/>
        <w:keepLines w:val="0"/>
        <w:pageBreakBefore w:val="0"/>
        <w:numPr>
          <w:ilvl w:val="-1"/>
          <w:numId w:val="0"/>
        </w:numPr>
        <w:kinsoku/>
        <w:wordWrap/>
        <w:overflowPunct/>
        <w:topLinePunct w:val="0"/>
        <w:autoSpaceDE/>
        <w:autoSpaceDN/>
        <w:bidi w:val="0"/>
        <w:adjustRightInd/>
        <w:snapToGrid w:val="0"/>
        <w:spacing w:line="560" w:lineRule="exact"/>
        <w:ind w:firstLine="640" w:firstLineChars="200"/>
        <w:jc w:val="left"/>
        <w:textAlignment w:val="auto"/>
        <w:outlineLvl w:val="9"/>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lang w:eastAsia="zh-CN"/>
        </w:rPr>
        <w:t>（二）</w:t>
      </w:r>
      <w:r>
        <w:rPr>
          <w:rFonts w:hint="eastAsia" w:ascii="楷体_GB2312" w:hAnsi="楷体_GB2312" w:eastAsia="楷体_GB2312" w:cs="楷体_GB2312"/>
          <w:b w:val="0"/>
          <w:bCs w:val="0"/>
          <w:sz w:val="32"/>
          <w:szCs w:val="32"/>
        </w:rPr>
        <w:t>绩效指标完成情况分析。</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1.产出指标完成情况分析</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（1）数量指标</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达到“资金到位率100%”的目标。</w:t>
      </w:r>
      <w:r>
        <w:rPr>
          <w:rFonts w:hint="eastAsia" w:ascii="仿宋_GB2312"/>
          <w:sz w:val="32"/>
          <w:szCs w:val="32"/>
          <w:highlight w:val="none"/>
          <w:lang w:eastAsia="zh-CN"/>
        </w:rPr>
        <w:t>市财政局</w:t>
      </w:r>
      <w:r>
        <w:rPr>
          <w:rFonts w:hint="eastAsia" w:ascii="仿宋_GB2312"/>
          <w:sz w:val="32"/>
          <w:szCs w:val="32"/>
        </w:rPr>
        <w:t>执行《北京市粮食风险基金管理办法》，及时分解下达资金，及时、足额保障市储备粮存费轮换、贷款利息等相关粮食补贴资金及其他补贴资金到位。</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达到“粮食储备到位率100%”的目标。</w:t>
      </w:r>
      <w:r>
        <w:rPr>
          <w:rFonts w:hint="eastAsia" w:ascii="仿宋_GB2312"/>
          <w:sz w:val="32"/>
          <w:szCs w:val="32"/>
          <w:lang w:eastAsia="zh-CN"/>
        </w:rPr>
        <w:t>落实</w:t>
      </w:r>
      <w:r>
        <w:rPr>
          <w:rFonts w:hint="eastAsia" w:ascii="仿宋_GB2312"/>
          <w:sz w:val="32"/>
          <w:szCs w:val="32"/>
        </w:rPr>
        <w:t>国家有关部门核定的北京市地方粮食储备规模，满足《北京市储备粮管理办法》“轮换期间，市储备粮的实际库存数量不得低于总规模的80%。”的要求。</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color w:val="FF0000"/>
          <w:sz w:val="32"/>
          <w:szCs w:val="32"/>
        </w:rPr>
      </w:pPr>
      <w:r>
        <w:rPr>
          <w:rFonts w:hint="eastAsia" w:ascii="仿宋_GB2312"/>
          <w:sz w:val="32"/>
          <w:szCs w:val="32"/>
        </w:rPr>
        <w:t>达到“库存数量真实率100%”的目标。一是做好储备粮轮换和储存管理。市粮食和储备局进一步健全储备粮垂直管理体制，组织落实年度轮换计划，开展市储备粮轮换、储存、日常监管等工作，确保了市储备粮数量真实、质量安全。二是完善账务管理体系，以通用台账、保管台账两套账务信息为支撑，每月对全市储备粮进行统计、核实、比对、归档，确保账务管理体系各项数据准确，做到了账账、账实100%相符。</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（2）质量指标</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highlight w:val="none"/>
        </w:rPr>
      </w:pPr>
      <w:r>
        <w:rPr>
          <w:rFonts w:hint="eastAsia" w:ascii="仿宋_GB2312"/>
          <w:sz w:val="32"/>
          <w:szCs w:val="32"/>
        </w:rPr>
        <w:t>达到“基金使用规范率100%”的目标。一是严格执行</w:t>
      </w:r>
      <w:r>
        <w:rPr>
          <w:rFonts w:hint="eastAsia" w:ascii="仿宋_GB2312"/>
          <w:sz w:val="32"/>
          <w:szCs w:val="32"/>
          <w:lang w:eastAsia="zh-CN"/>
        </w:rPr>
        <w:t>《</w:t>
      </w:r>
      <w:r>
        <w:rPr>
          <w:rFonts w:hint="eastAsia" w:ascii="仿宋_GB2312"/>
          <w:sz w:val="32"/>
          <w:szCs w:val="32"/>
          <w:lang w:val="en-US" w:eastAsia="zh-CN"/>
        </w:rPr>
        <w:t>北京市</w:t>
      </w:r>
      <w:r>
        <w:rPr>
          <w:rFonts w:hint="eastAsia" w:ascii="仿宋_GB2312"/>
          <w:sz w:val="32"/>
          <w:szCs w:val="32"/>
        </w:rPr>
        <w:t>粮食风险基金资金管理办法</w:t>
      </w:r>
      <w:r>
        <w:rPr>
          <w:rFonts w:hint="eastAsia" w:ascii="仿宋_GB2312"/>
          <w:sz w:val="32"/>
          <w:szCs w:val="32"/>
          <w:lang w:eastAsia="zh-CN"/>
        </w:rPr>
        <w:t>》</w:t>
      </w:r>
      <w:r>
        <w:rPr>
          <w:rFonts w:hint="eastAsia" w:ascii="仿宋_GB2312"/>
          <w:sz w:val="32"/>
          <w:szCs w:val="32"/>
        </w:rPr>
        <w:t>，资金管理规范，管理制度健全；二是资金管理使用严格执行相关资金管理制度，按要求及时与财政部门核对年度相关数据，扎实开展绩效自评工作，按时</w:t>
      </w:r>
      <w:r>
        <w:rPr>
          <w:rFonts w:hint="eastAsia" w:ascii="仿宋_GB2312"/>
          <w:sz w:val="32"/>
          <w:szCs w:val="32"/>
          <w:lang w:val="en-US" w:eastAsia="zh-CN"/>
        </w:rPr>
        <w:t>向</w:t>
      </w:r>
      <w:r>
        <w:rPr>
          <w:rFonts w:hint="eastAsia" w:ascii="仿宋_GB2312"/>
          <w:sz w:val="32"/>
          <w:szCs w:val="32"/>
        </w:rPr>
        <w:t>财政部门报送情况报告；</w:t>
      </w:r>
      <w:r>
        <w:rPr>
          <w:rFonts w:hint="eastAsia" w:ascii="仿宋_GB2312"/>
          <w:color w:val="212121"/>
          <w:sz w:val="32"/>
          <w:szCs w:val="32"/>
          <w:highlight w:val="none"/>
        </w:rPr>
        <w:t>三是市粮食和储备局会同市财政局对燕谷公司与市储备粮承储企业补贴资金管理使用情况开展专项检查，</w:t>
      </w:r>
      <w:r>
        <w:rPr>
          <w:rFonts w:hint="eastAsia" w:ascii="仿宋_GB2312"/>
          <w:color w:val="212121"/>
          <w:sz w:val="32"/>
          <w:szCs w:val="32"/>
          <w:highlight w:val="none"/>
          <w:lang w:eastAsia="zh-CN"/>
        </w:rPr>
        <w:t>实现</w:t>
      </w:r>
      <w:r>
        <w:rPr>
          <w:rFonts w:hint="eastAsia" w:ascii="仿宋_GB2312"/>
          <w:color w:val="212121"/>
          <w:sz w:val="32"/>
          <w:szCs w:val="32"/>
          <w:highlight w:val="none"/>
        </w:rPr>
        <w:t>检查对象全覆盖，全年未发生资金使用方面问题，基金使用管理规范。</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达到“专户管理率100%”的目标。本市粮食风险基金严格按照《北京市粮食风险基金管理办法》要求，实行农业发展银行专户管理。燕谷公司在农发行北京市分行开立补贴资金专户，财政拨付补贴资金全部划入该专户管理，补贴支出全部通过该专户支出，确保资金安全。</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highlight w:val="none"/>
        </w:rPr>
      </w:pPr>
      <w:r>
        <w:rPr>
          <w:rFonts w:hint="eastAsia" w:ascii="仿宋_GB2312"/>
          <w:sz w:val="32"/>
          <w:szCs w:val="32"/>
        </w:rPr>
        <w:t>达到“库存粮食明显变质比例为0”的目标。一是企业自查情况良好。市粮食和储备局组织各承储企业开展了2024年市储备粮逐货位质量自查工作，自查结果显示市储备粮宜存率均为100％；二是抽查检验结果符合要求。市粮食和储备局开展了2024年市储备粮质量抽查工作，合计抽查储存库点53个次，储粮货位98个，抽查结果显示市储备粮油宜存率为100％；三是强化市储备粮生产安全管理，安全生产无事故</w:t>
      </w:r>
      <w:r>
        <w:rPr>
          <w:rFonts w:hint="eastAsia" w:ascii="仿宋_GB2312"/>
          <w:sz w:val="32"/>
          <w:szCs w:val="32"/>
          <w:highlight w:val="none"/>
        </w:rPr>
        <w:t>，督促企业开展春秋季储粮安全检查工作，逐货位检查市储备粮粮情，全面检查仓储设施和储粮设备情况，确保市储备粮安全生产全年无事故。</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（3）时效指标</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达到“资金及时下达率100%”的目标。财政部门及时分解下达资金，保证项目进度；市粮食和储备局按要求申请预拨资金，保证资金拨付及时到位。市财政局按期及时向燕谷公司拨付市储备粮费用补贴等资金，燕谷公司在收到补贴资金后，及时将资金拨付给有关粮食企业，定期向市粮食和储备局</w:t>
      </w:r>
      <w:r>
        <w:rPr>
          <w:rFonts w:hint="eastAsia" w:ascii="仿宋_GB2312"/>
          <w:sz w:val="32"/>
          <w:szCs w:val="32"/>
          <w:lang w:eastAsia="zh-CN"/>
        </w:rPr>
        <w:t>报告</w:t>
      </w:r>
      <w:r>
        <w:rPr>
          <w:rFonts w:hint="eastAsia" w:ascii="仿宋_GB2312"/>
          <w:sz w:val="32"/>
          <w:szCs w:val="32"/>
        </w:rPr>
        <w:t>资金拨付情况。</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2.效益指标完成情况分析</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（1）经济效益</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达到“利息费用保障率100%”的目标。全面保障本市储备粮油利息费用。市级储备粮油贷款利息由市财政局与农发行北京市分行按照市级储备粮油实际占用贷款金额和当期粮油收购贷款利率按季度据实结算。北京市无粮食政策性财务挂账情况。</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（2）社会效益</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t>达到“因粮食市场波动引起的粮食安全事件发生数0起”的目标。</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rPr>
      </w:pPr>
      <w:r>
        <w:rPr>
          <w:rFonts w:hint="eastAsia" w:ascii="仿宋_GB2312"/>
          <w:sz w:val="32"/>
          <w:szCs w:val="32"/>
        </w:rPr>
        <w:fldChar w:fldCharType="begin"/>
      </w:r>
      <w:r>
        <w:rPr>
          <w:rFonts w:hint="eastAsia" w:ascii="仿宋_GB2312"/>
          <w:sz w:val="32"/>
          <w:szCs w:val="32"/>
        </w:rPr>
        <w:instrText xml:space="preserve"> = 1 \* GB3 \* MERGEFORMAT </w:instrText>
      </w:r>
      <w:r>
        <w:rPr>
          <w:rFonts w:hint="eastAsia" w:ascii="仿宋_GB2312"/>
          <w:sz w:val="32"/>
          <w:szCs w:val="32"/>
        </w:rPr>
        <w:fldChar w:fldCharType="separate"/>
      </w:r>
      <w:r>
        <w:t>①</w:t>
      </w:r>
      <w:r>
        <w:rPr>
          <w:rFonts w:hint="eastAsia" w:ascii="仿宋_GB2312"/>
          <w:sz w:val="32"/>
          <w:szCs w:val="32"/>
        </w:rPr>
        <w:fldChar w:fldCharType="end"/>
      </w:r>
      <w:r>
        <w:rPr>
          <w:rFonts w:hint="eastAsia" w:ascii="仿宋_GB2312"/>
          <w:sz w:val="32"/>
          <w:szCs w:val="32"/>
        </w:rPr>
        <w:t>坚持为农服务理念，稳定本市粮食生产。在今年玉米收获上市期间，市、区粮食部门强化为农服务意识，鼓励引导市内外多元市场主体入市收购。通过郊区转储的方式将玉米主产区延庆区的1.6万吨收购玉米转为市储备粮，拓展了农民售粮渠道，防止了本市郊区农民出现“卖粮难”问题。从今年本市粮食收购市场情况来看，本市粮食收购平稳有序，未出现农民“卖粮难”。</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outlineLvl w:val="0"/>
        <w:rPr>
          <w:rFonts w:ascii="仿宋_GB2312"/>
          <w:sz w:val="32"/>
          <w:szCs w:val="32"/>
          <w:highlight w:val="green"/>
        </w:rPr>
      </w:pPr>
      <w:r>
        <w:rPr>
          <w:rFonts w:hint="eastAsia" w:ascii="仿宋_GB2312"/>
          <w:sz w:val="32"/>
          <w:szCs w:val="32"/>
        </w:rPr>
        <w:fldChar w:fldCharType="begin"/>
      </w:r>
      <w:r>
        <w:rPr>
          <w:rFonts w:hint="eastAsia" w:ascii="仿宋_GB2312"/>
          <w:sz w:val="32"/>
          <w:szCs w:val="32"/>
        </w:rPr>
        <w:instrText xml:space="preserve"> = 2 \* GB3 \* MERGEFORMAT </w:instrText>
      </w:r>
      <w:r>
        <w:rPr>
          <w:rFonts w:hint="eastAsia" w:ascii="仿宋_GB2312"/>
          <w:sz w:val="32"/>
          <w:szCs w:val="32"/>
        </w:rPr>
        <w:fldChar w:fldCharType="separate"/>
      </w:r>
      <w:r>
        <w:t>②</w:t>
      </w:r>
      <w:r>
        <w:rPr>
          <w:rFonts w:hint="eastAsia" w:ascii="仿宋_GB2312"/>
          <w:sz w:val="32"/>
          <w:szCs w:val="32"/>
        </w:rPr>
        <w:fldChar w:fldCharType="end"/>
      </w:r>
      <w:r>
        <w:rPr>
          <w:rFonts w:hint="eastAsia" w:ascii="仿宋_GB2312"/>
          <w:sz w:val="32"/>
          <w:szCs w:val="32"/>
        </w:rPr>
        <w:t>及时处置粮食市场异常波动等突发情况，保障了本市粮油市场稳定。一是全年保持市级临时储备成品粮规模；二是发挥市储备粮轮换的吞吐调节作用，保障市场供应。2024年度，市粮食和储备局通过竞价交易方式，共轮出市储备原粮油55.99万吨，有效满足了本市及周边企业用粮需求。</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eastAsia="黑体"/>
          <w:sz w:val="32"/>
          <w:szCs w:val="32"/>
          <w:lang w:eastAsia="zh-CN"/>
        </w:rPr>
      </w:pPr>
      <w:r>
        <w:rPr>
          <w:rFonts w:hint="eastAsia" w:ascii="黑体" w:hAnsi="黑体" w:eastAsia="黑体" w:cs="黑体"/>
          <w:bCs/>
          <w:sz w:val="32"/>
          <w:szCs w:val="32"/>
        </w:rPr>
        <w:t>三、</w:t>
      </w:r>
      <w:r>
        <w:rPr>
          <w:rFonts w:hint="eastAsia" w:ascii="黑体" w:hAnsi="黑体" w:eastAsia="黑体" w:cs="黑体"/>
          <w:bCs/>
          <w:sz w:val="32"/>
          <w:szCs w:val="32"/>
          <w:lang w:eastAsia="zh-CN"/>
        </w:rPr>
        <w:t>绩效自评结论</w:t>
      </w:r>
    </w:p>
    <w:p>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cs="仿宋_GB2312"/>
          <w:sz w:val="32"/>
          <w:szCs w:val="32"/>
          <w:lang w:val="en"/>
        </w:rPr>
      </w:pPr>
      <w:r>
        <w:rPr>
          <w:rFonts w:hint="eastAsia" w:ascii="仿宋_GB2312"/>
          <w:sz w:val="32"/>
          <w:szCs w:val="32"/>
        </w:rPr>
        <w:t>本项目管理制度健全，各项制度执行完整有效，2024年总体目标和绩效指标均已完成，未发生未达到指标值或超过指标值较多的情况，下一步我市将继续严格政策落实及制度执行，持续强化提升项目绩效管理水平与实施规范性，充分发挥财政资金使用效益。</w:t>
      </w:r>
    </w:p>
    <w:sectPr>
      <w:headerReference r:id="rId3" w:type="default"/>
      <w:footerReference r:id="rId4" w:type="default"/>
      <w:pgSz w:w="11906" w:h="16838"/>
      <w:pgMar w:top="2098" w:right="1474" w:bottom="1984" w:left="1587" w:header="851" w:footer="1134"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国标仿宋">
    <w:panose1 w:val="02000500000000000000"/>
    <w:charset w:val="86"/>
    <w:family w:val="auto"/>
    <w:pitch w:val="default"/>
    <w:sig w:usb0="A00002BF" w:usb1="38C77CFA" w:usb2="00000016" w:usb3="00000000" w:csb0="00060007" w:csb1="00000000"/>
  </w:font>
  <w:font w:name="方正小标宋_GBK">
    <w:panose1 w:val="02000000000000000000"/>
    <w:charset w:val="86"/>
    <w:family w:val="auto"/>
    <w:pitch w:val="default"/>
    <w:sig w:usb0="00000001" w:usb1="08000000" w:usb2="00000000" w:usb3="00000000" w:csb0="00040000" w:csb1="00000000"/>
  </w:font>
  <w:font w:name="CESI仿宋-GB13000">
    <w:panose1 w:val="02000500000000000000"/>
    <w:charset w:val="86"/>
    <w:family w:val="auto"/>
    <w:pitch w:val="default"/>
    <w:sig w:usb0="800002BF" w:usb1="18CF7CF8"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cs="仿宋_GB2312"/>
                              <w:sz w:val="30"/>
                              <w:szCs w:val="30"/>
                            </w:rPr>
                          </w:pPr>
                          <w:r>
                            <w:rPr>
                              <w:rFonts w:hint="eastAsia" w:ascii="仿宋_GB2312" w:hAnsi="仿宋_GB2312" w:cs="仿宋_GB2312"/>
                              <w:sz w:val="30"/>
                              <w:szCs w:val="30"/>
                            </w:rPr>
                            <w:fldChar w:fldCharType="begin"/>
                          </w:r>
                          <w:r>
                            <w:rPr>
                              <w:rFonts w:hint="eastAsia" w:ascii="仿宋_GB2312" w:hAnsi="仿宋_GB2312" w:cs="仿宋_GB2312"/>
                              <w:sz w:val="30"/>
                              <w:szCs w:val="30"/>
                            </w:rPr>
                            <w:instrText xml:space="preserve"> PAGE  \* MERGEFORMAT </w:instrText>
                          </w:r>
                          <w:r>
                            <w:rPr>
                              <w:rFonts w:hint="eastAsia" w:ascii="仿宋_GB2312" w:hAnsi="仿宋_GB2312" w:cs="仿宋_GB2312"/>
                              <w:sz w:val="30"/>
                              <w:szCs w:val="30"/>
                            </w:rPr>
                            <w:fldChar w:fldCharType="separate"/>
                          </w:r>
                          <w:r>
                            <w:rPr>
                              <w:rFonts w:hint="eastAsia" w:ascii="仿宋_GB2312" w:hAnsi="仿宋_GB2312" w:cs="仿宋_GB2312"/>
                              <w:sz w:val="30"/>
                              <w:szCs w:val="30"/>
                            </w:rPr>
                            <w:t>1</w:t>
                          </w:r>
                          <w:r>
                            <w:rPr>
                              <w:rFonts w:hint="eastAsia" w:ascii="仿宋_GB2312" w:hAnsi="仿宋_GB2312" w:cs="仿宋_GB2312"/>
                              <w:sz w:val="30"/>
                              <w:szCs w:val="3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fill on="f" focussize="0,0"/>
              <v:stroke on="f" weight="0.5pt"/>
              <v:imagedata o:title=""/>
              <o:lock v:ext="edit" aspectratio="f"/>
              <v:textbox inset="0mm,0mm,0mm,0mm" style="mso-fit-shape-to-text:t;">
                <w:txbxContent>
                  <w:p>
                    <w:pPr>
                      <w:pStyle w:val="3"/>
                      <w:rPr>
                        <w:rFonts w:hint="eastAsia" w:ascii="仿宋_GB2312" w:hAnsi="仿宋_GB2312" w:cs="仿宋_GB2312"/>
                        <w:sz w:val="30"/>
                        <w:szCs w:val="30"/>
                      </w:rPr>
                    </w:pPr>
                    <w:r>
                      <w:rPr>
                        <w:rFonts w:hint="eastAsia" w:ascii="仿宋_GB2312" w:hAnsi="仿宋_GB2312" w:cs="仿宋_GB2312"/>
                        <w:sz w:val="30"/>
                        <w:szCs w:val="30"/>
                      </w:rPr>
                      <w:fldChar w:fldCharType="begin"/>
                    </w:r>
                    <w:r>
                      <w:rPr>
                        <w:rFonts w:hint="eastAsia" w:ascii="仿宋_GB2312" w:hAnsi="仿宋_GB2312" w:cs="仿宋_GB2312"/>
                        <w:sz w:val="30"/>
                        <w:szCs w:val="30"/>
                      </w:rPr>
                      <w:instrText xml:space="preserve"> PAGE  \* MERGEFORMAT </w:instrText>
                    </w:r>
                    <w:r>
                      <w:rPr>
                        <w:rFonts w:hint="eastAsia" w:ascii="仿宋_GB2312" w:hAnsi="仿宋_GB2312" w:cs="仿宋_GB2312"/>
                        <w:sz w:val="30"/>
                        <w:szCs w:val="30"/>
                      </w:rPr>
                      <w:fldChar w:fldCharType="separate"/>
                    </w:r>
                    <w:r>
                      <w:rPr>
                        <w:rFonts w:hint="eastAsia" w:ascii="仿宋_GB2312" w:hAnsi="仿宋_GB2312" w:cs="仿宋_GB2312"/>
                        <w:sz w:val="30"/>
                        <w:szCs w:val="30"/>
                      </w:rPr>
                      <w:t>1</w:t>
                    </w:r>
                    <w:r>
                      <w:rPr>
                        <w:rFonts w:hint="eastAsia" w:ascii="仿宋_GB2312" w:hAnsi="仿宋_GB2312" w:cs="仿宋_GB2312"/>
                        <w:sz w:val="30"/>
                        <w:szCs w:val="30"/>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none" w:color="auto" w:sz="0" w:space="0"/>
        <w:left w:val="none" w:color="auto" w:sz="0" w:space="0"/>
        <w:bottom w:val="none" w:color="auto" w:sz="0" w:space="1"/>
        <w:right w:val="none" w:color="auto" w:sz="0" w:space="0"/>
        <w:between w:val="none" w:color="auto" w:sz="0" w:space="0"/>
      </w:pBdr>
    </w:pPr>
    <w:bookmarkStart w:id="0" w:name="_GoBack"/>
  </w:p>
  <w:bookmarkEnd w:i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A6965"/>
    <w:rsid w:val="001B217E"/>
    <w:rsid w:val="001E03FE"/>
    <w:rsid w:val="002123E8"/>
    <w:rsid w:val="00220EF3"/>
    <w:rsid w:val="0022466B"/>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82D42"/>
    <w:rsid w:val="007D7E6E"/>
    <w:rsid w:val="007E4FD3"/>
    <w:rsid w:val="0081316C"/>
    <w:rsid w:val="00850797"/>
    <w:rsid w:val="00853FC4"/>
    <w:rsid w:val="008658A1"/>
    <w:rsid w:val="008720F1"/>
    <w:rsid w:val="00882EFA"/>
    <w:rsid w:val="008B2F56"/>
    <w:rsid w:val="008E3907"/>
    <w:rsid w:val="008F0996"/>
    <w:rsid w:val="00903791"/>
    <w:rsid w:val="0092685C"/>
    <w:rsid w:val="009600BD"/>
    <w:rsid w:val="00961C83"/>
    <w:rsid w:val="009922BC"/>
    <w:rsid w:val="009B6E46"/>
    <w:rsid w:val="009C655F"/>
    <w:rsid w:val="009E0D8C"/>
    <w:rsid w:val="00A02AF3"/>
    <w:rsid w:val="00A25077"/>
    <w:rsid w:val="00A610CC"/>
    <w:rsid w:val="00A8737E"/>
    <w:rsid w:val="00AA19AF"/>
    <w:rsid w:val="00AB53F5"/>
    <w:rsid w:val="00AD4B89"/>
    <w:rsid w:val="00B458C8"/>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845082D"/>
    <w:rsid w:val="09E965F2"/>
    <w:rsid w:val="0FF7AA4F"/>
    <w:rsid w:val="139840D3"/>
    <w:rsid w:val="143E091F"/>
    <w:rsid w:val="14865FC8"/>
    <w:rsid w:val="150C2DB0"/>
    <w:rsid w:val="18FBA0D1"/>
    <w:rsid w:val="1A7D29EA"/>
    <w:rsid w:val="1D994BCF"/>
    <w:rsid w:val="1E761F05"/>
    <w:rsid w:val="1F7BE1E6"/>
    <w:rsid w:val="1FC7205C"/>
    <w:rsid w:val="20EF4389"/>
    <w:rsid w:val="228B3D05"/>
    <w:rsid w:val="284E74F8"/>
    <w:rsid w:val="2ADB48E8"/>
    <w:rsid w:val="2CFF9CAB"/>
    <w:rsid w:val="2F7F3178"/>
    <w:rsid w:val="2FBE405B"/>
    <w:rsid w:val="36687282"/>
    <w:rsid w:val="367793B2"/>
    <w:rsid w:val="3794FC37"/>
    <w:rsid w:val="38EF7AD8"/>
    <w:rsid w:val="38F65C63"/>
    <w:rsid w:val="39FF7732"/>
    <w:rsid w:val="3BDB1059"/>
    <w:rsid w:val="3BF3CD90"/>
    <w:rsid w:val="3BF5E80E"/>
    <w:rsid w:val="3E1672E6"/>
    <w:rsid w:val="3EB9C2BB"/>
    <w:rsid w:val="3F370DCD"/>
    <w:rsid w:val="3F6D3E10"/>
    <w:rsid w:val="3FEF6A07"/>
    <w:rsid w:val="3FFCD4B4"/>
    <w:rsid w:val="3FFF5088"/>
    <w:rsid w:val="415F08D8"/>
    <w:rsid w:val="44E2230F"/>
    <w:rsid w:val="48B51347"/>
    <w:rsid w:val="491B45FA"/>
    <w:rsid w:val="4A55216A"/>
    <w:rsid w:val="4EB9EC30"/>
    <w:rsid w:val="4F36CE71"/>
    <w:rsid w:val="4FE0696A"/>
    <w:rsid w:val="546F8569"/>
    <w:rsid w:val="55664C56"/>
    <w:rsid w:val="55673508"/>
    <w:rsid w:val="59595A6F"/>
    <w:rsid w:val="597350B8"/>
    <w:rsid w:val="599330CA"/>
    <w:rsid w:val="59F67074"/>
    <w:rsid w:val="5A7FCB1F"/>
    <w:rsid w:val="5EBFA1CE"/>
    <w:rsid w:val="5FEAF7C9"/>
    <w:rsid w:val="5FFF8A42"/>
    <w:rsid w:val="60D5009F"/>
    <w:rsid w:val="64AC2E11"/>
    <w:rsid w:val="660721C9"/>
    <w:rsid w:val="661E6C75"/>
    <w:rsid w:val="67F75FF5"/>
    <w:rsid w:val="67F96524"/>
    <w:rsid w:val="67FF428D"/>
    <w:rsid w:val="681D4831"/>
    <w:rsid w:val="692E4B19"/>
    <w:rsid w:val="69513EF7"/>
    <w:rsid w:val="6BF3256F"/>
    <w:rsid w:val="6CE7018A"/>
    <w:rsid w:val="6E3E3F2D"/>
    <w:rsid w:val="6EFBF309"/>
    <w:rsid w:val="7096206C"/>
    <w:rsid w:val="715B2F02"/>
    <w:rsid w:val="76572584"/>
    <w:rsid w:val="76A548F2"/>
    <w:rsid w:val="7765772E"/>
    <w:rsid w:val="776F5E62"/>
    <w:rsid w:val="777B3F0A"/>
    <w:rsid w:val="77867685"/>
    <w:rsid w:val="77B82B7F"/>
    <w:rsid w:val="77BBFBDB"/>
    <w:rsid w:val="77BDB41D"/>
    <w:rsid w:val="77EE7FE7"/>
    <w:rsid w:val="77F3F31A"/>
    <w:rsid w:val="781F36B6"/>
    <w:rsid w:val="790627AD"/>
    <w:rsid w:val="79DFF8C4"/>
    <w:rsid w:val="7ADC59FA"/>
    <w:rsid w:val="7AFF2FC3"/>
    <w:rsid w:val="7BD7D95F"/>
    <w:rsid w:val="7BDF473F"/>
    <w:rsid w:val="7BF6B4C5"/>
    <w:rsid w:val="7DCF4F95"/>
    <w:rsid w:val="7DDD794F"/>
    <w:rsid w:val="7DFA6624"/>
    <w:rsid w:val="7DFD8AD7"/>
    <w:rsid w:val="7DFEFB95"/>
    <w:rsid w:val="7E7EA872"/>
    <w:rsid w:val="7ECD6B9A"/>
    <w:rsid w:val="7EF15A5A"/>
    <w:rsid w:val="7EF7A9FB"/>
    <w:rsid w:val="7F9F48F7"/>
    <w:rsid w:val="7FBA576D"/>
    <w:rsid w:val="7FBE9F43"/>
    <w:rsid w:val="7FC25803"/>
    <w:rsid w:val="7FCE3DC9"/>
    <w:rsid w:val="7FDE47D5"/>
    <w:rsid w:val="7FF39BCB"/>
    <w:rsid w:val="7FF7BED0"/>
    <w:rsid w:val="7FFC7CB2"/>
    <w:rsid w:val="7FFD003D"/>
    <w:rsid w:val="86E189FF"/>
    <w:rsid w:val="94BFC172"/>
    <w:rsid w:val="9BFA614C"/>
    <w:rsid w:val="AAFDD6AA"/>
    <w:rsid w:val="ABFDDAA3"/>
    <w:rsid w:val="AD714157"/>
    <w:rsid w:val="B7BEFA92"/>
    <w:rsid w:val="BAFE1E17"/>
    <w:rsid w:val="BBDF5B5A"/>
    <w:rsid w:val="BBE428C2"/>
    <w:rsid w:val="BCBC5146"/>
    <w:rsid w:val="BEEE8809"/>
    <w:rsid w:val="BF4E0153"/>
    <w:rsid w:val="BFBF52D7"/>
    <w:rsid w:val="CAE741E1"/>
    <w:rsid w:val="CDF5D861"/>
    <w:rsid w:val="D3BB52AC"/>
    <w:rsid w:val="D4CF341B"/>
    <w:rsid w:val="D7C5C851"/>
    <w:rsid w:val="D7FF37ED"/>
    <w:rsid w:val="DF3EE07F"/>
    <w:rsid w:val="DF6E82F1"/>
    <w:rsid w:val="DFCEE0CE"/>
    <w:rsid w:val="DFD71B52"/>
    <w:rsid w:val="DFEE3D71"/>
    <w:rsid w:val="DFFF7077"/>
    <w:rsid w:val="ED7700F2"/>
    <w:rsid w:val="EDFFCA94"/>
    <w:rsid w:val="EEBF3D7B"/>
    <w:rsid w:val="EEBF76D9"/>
    <w:rsid w:val="F36EF6AC"/>
    <w:rsid w:val="F43F90C0"/>
    <w:rsid w:val="F6FDCC0E"/>
    <w:rsid w:val="F767D450"/>
    <w:rsid w:val="F76FB1DB"/>
    <w:rsid w:val="F7FBEBBF"/>
    <w:rsid w:val="F8BEE7B7"/>
    <w:rsid w:val="F9F3FBF0"/>
    <w:rsid w:val="FB17B50D"/>
    <w:rsid w:val="FB8F1E9E"/>
    <w:rsid w:val="FB9F8FA2"/>
    <w:rsid w:val="FBDFBAB5"/>
    <w:rsid w:val="FBFF2696"/>
    <w:rsid w:val="FD3B37BF"/>
    <w:rsid w:val="FDB5389F"/>
    <w:rsid w:val="FDFF12BB"/>
    <w:rsid w:val="FE970D9D"/>
    <w:rsid w:val="FEE7F688"/>
    <w:rsid w:val="FF7C8C82"/>
    <w:rsid w:val="FF7FB15E"/>
    <w:rsid w:val="FFA84C94"/>
    <w:rsid w:val="FFAFB80B"/>
    <w:rsid w:val="FFBA15CC"/>
    <w:rsid w:val="FFDF4FA5"/>
    <w:rsid w:val="FFE6556D"/>
    <w:rsid w:val="FFF9F86D"/>
    <w:rsid w:val="FFFF93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字符"/>
    <w:basedOn w:val="6"/>
    <w:link w:val="3"/>
    <w:qFormat/>
    <w:uiPriority w:val="99"/>
    <w:rPr>
      <w:rFonts w:eastAsia="仿宋_GB2312"/>
      <w:kern w:val="2"/>
      <w:sz w:val="18"/>
      <w:szCs w:val="18"/>
    </w:rPr>
  </w:style>
  <w:style w:type="character" w:customStyle="1" w:styleId="8">
    <w:name w:val="页眉 字符"/>
    <w:basedOn w:val="6"/>
    <w:link w:val="4"/>
    <w:qFormat/>
    <w:uiPriority w:val="0"/>
    <w:rPr>
      <w:rFonts w:eastAsia="仿宋_GB2312"/>
      <w:kern w:val="2"/>
      <w:sz w:val="18"/>
      <w:szCs w:val="18"/>
    </w:rPr>
  </w:style>
  <w:style w:type="character" w:customStyle="1" w:styleId="9">
    <w:name w:val="批注框文本 字符"/>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6579</Words>
  <Characters>7122</Characters>
  <Lines>48</Lines>
  <Paragraphs>13</Paragraphs>
  <TotalTime>16</TotalTime>
  <ScaleCrop>false</ScaleCrop>
  <LinksUpToDate>false</LinksUpToDate>
  <CharactersWithSpaces>7132</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2019-02-27T06:26:00Z</dcterms:created>
  <dc:creator>lhn</dc:creator>
  <cp:lastModifiedBy> </cp:lastModifiedBy>
  <cp:lastPrinted>2024-04-07T18:05:00Z</cp:lastPrinted>
  <dcterms:modified xsi:type="dcterms:W3CDTF">2025-08-27T10:49:14Z</dcterms:modified>
  <dc:title>财政支出绩效评价报告</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09273D070432CA313866C86756D333F2</vt:lpwstr>
  </property>
  <property fmtid="{D5CDD505-2E9C-101B-9397-08002B2CF9AE}" pid="4" name="KSOTemplateDocerSaveRecord">
    <vt:lpwstr>eyJoZGlkIjoiZTliNjI2ZTQxNDA2MzVjMWFkMjk1YjlmZDA3NWJkMjUifQ==</vt:lpwstr>
  </property>
</Properties>
</file>