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color w:val="FF0000"/>
          <w:w w:val="90"/>
          <w:sz w:val="72"/>
          <w:szCs w:val="72"/>
        </w:rPr>
      </w:pPr>
      <w:r>
        <w:rPr>
          <w:rFonts w:hint="eastAsia" w:ascii="方正小标宋简体" w:hAnsi="华文中宋" w:eastAsia="方正小标宋简体"/>
          <w:color w:val="FF0000"/>
          <w:w w:val="90"/>
          <w:sz w:val="72"/>
          <w:szCs w:val="72"/>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693420</wp:posOffset>
                </wp:positionV>
                <wp:extent cx="5547360" cy="0"/>
                <wp:effectExtent l="0" t="25400" r="26670" b="25400"/>
                <wp:wrapNone/>
                <wp:docPr id="2" name="Line 2"/>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0pt;margin-top:54.6pt;height:0pt;width:436.8pt;z-index:-251659264;mso-width-relative:page;mso-height-relative:page;" filled="f" stroked="t" coordsize="21600,21600" o:gfxdata="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mu&#10;jXDTAAAACAEAAA8AAAAAAAAAAQAgAAAAOAAAAGRycy9kb3ducmV2LnhtbFBLAQIUABQAAAAIAIdO&#10;4kD9k5QIoAEAADEDAAAOAAAAAAAAAAEAIAAAADgBAABkcnMvZTJvRG9jLnhtbFBLBQYAAAAABgAG&#10;AFkBAABKBQAAAAA=&#10;">
                <v:fill on="f" focussize="0,0"/>
                <v:stroke weight="4.5pt" color="#FF0000" linestyle="thickThin" joinstyle="round"/>
                <v:imagedata o:title=""/>
                <o:lock v:ext="edit" aspectratio="f"/>
              </v:line>
            </w:pict>
          </mc:Fallback>
        </mc:AlternateContent>
      </w:r>
      <w:r>
        <w:rPr>
          <w:rFonts w:hint="eastAsia" w:ascii="方正小标宋简体" w:hAnsi="华文中宋" w:eastAsia="方正小标宋简体"/>
          <w:color w:val="FF0000"/>
          <w:w w:val="90"/>
          <w:sz w:val="72"/>
          <w:szCs w:val="72"/>
        </w:rPr>
        <w:t>北京市粮食和物资储备局</w:t>
      </w:r>
    </w:p>
    <w:p>
      <w:pPr>
        <w:rPr>
          <w:szCs w:val="32"/>
        </w:rPr>
      </w:pPr>
    </w:p>
    <w:p>
      <w:pPr>
        <w:adjustRightInd w:val="0"/>
        <w:snapToGrid w:val="0"/>
        <w:spacing w:line="252" w:lineRule="auto"/>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北京市粮食和物资储备局</w:t>
      </w:r>
    </w:p>
    <w:p>
      <w:pPr>
        <w:adjustRightInd w:val="0"/>
        <w:snapToGrid w:val="0"/>
        <w:spacing w:line="252" w:lineRule="auto"/>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关于征集粮食和物资储备领域</w:t>
      </w:r>
    </w:p>
    <w:p>
      <w:pPr>
        <w:adjustRightInd w:val="0"/>
        <w:snapToGrid w:val="0"/>
        <w:spacing w:line="252" w:lineRule="auto"/>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科技成果的通知</w:t>
      </w:r>
    </w:p>
    <w:p>
      <w:pPr>
        <w:pStyle w:val="5"/>
        <w:shd w:val="clear" w:color="auto" w:fill="FFFFFF"/>
        <w:spacing w:before="0" w:beforeAutospacing="0" w:after="0" w:afterAutospacing="0" w:line="520" w:lineRule="exact"/>
        <w:rPr>
          <w:rFonts w:hint="eastAsia" w:ascii="仿宋_GB2312" w:hAnsi="Times New Roman" w:eastAsia="仿宋_GB2312"/>
          <w:sz w:val="32"/>
          <w:szCs w:val="32"/>
        </w:rPr>
      </w:pPr>
    </w:p>
    <w:p>
      <w:pPr>
        <w:pStyle w:val="5"/>
        <w:shd w:val="clear" w:color="auto" w:fill="FFFFFF"/>
        <w:spacing w:before="0" w:beforeAutospacing="0" w:after="0" w:afterAutospacing="0" w:line="520" w:lineRule="exact"/>
        <w:rPr>
          <w:rFonts w:hint="eastAsia" w:ascii="仿宋_GB2312" w:hAnsi="Times New Roman" w:eastAsia="仿宋_GB2312"/>
          <w:sz w:val="32"/>
          <w:szCs w:val="32"/>
        </w:rPr>
      </w:pPr>
      <w:r>
        <w:rPr>
          <w:rFonts w:hint="eastAsia" w:ascii="仿宋_GB2312" w:hAnsi="Times New Roman" w:eastAsia="仿宋_GB2312"/>
          <w:sz w:val="32"/>
          <w:szCs w:val="32"/>
        </w:rPr>
        <w:t>各区商务局(粮食和物资储备局)、北京首农食品集团有限公司、科研工作室</w:t>
      </w:r>
      <w:r>
        <w:rPr>
          <w:rFonts w:hint="eastAsia" w:ascii="仿宋_GB2312" w:hAnsi="Times New Roman" w:eastAsia="仿宋_GB2312"/>
          <w:sz w:val="32"/>
          <w:szCs w:val="32"/>
          <w:lang w:eastAsia="zh-CN"/>
        </w:rPr>
        <w:t>、</w:t>
      </w:r>
      <w:r>
        <w:rPr>
          <w:rFonts w:hint="eastAsia" w:ascii="仿宋" w:hAnsi="仿宋" w:eastAsia="仿宋" w:cs="仿宋"/>
          <w:sz w:val="32"/>
          <w:szCs w:val="32"/>
          <w:lang w:val="en-US" w:eastAsia="zh-CN"/>
        </w:rPr>
        <w:t>粮油质检单位、</w:t>
      </w:r>
      <w:bookmarkStart w:id="0" w:name="_GoBack"/>
      <w:bookmarkEnd w:id="0"/>
      <w:r>
        <w:rPr>
          <w:rFonts w:hint="eastAsia" w:ascii="仿宋_GB2312" w:hAnsi="Times New Roman" w:eastAsia="仿宋_GB2312"/>
          <w:sz w:val="32"/>
          <w:szCs w:val="32"/>
        </w:rPr>
        <w:t>相关</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和相关企业：</w:t>
      </w:r>
    </w:p>
    <w:p>
      <w:p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粮食和物资储备局安全仓储与科技司关于征集全国粮食科技活动科技成果的通知》，为切实增强科技创新对粮食和物资储备行业高质量发展的支撑作用，保障国家粮食和物资储备安全，拟征集先进科技成果和创新产品，推动先进技术成果开放共享，加大科技成果转化力度，充分展现粮食和物资储备领域最新科技。现将有关事项通知如下。</w:t>
      </w:r>
    </w:p>
    <w:p>
      <w:pPr>
        <w:numPr>
          <w:ilvl w:val="0"/>
          <w:numId w:val="0"/>
        </w:numPr>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一、征集条件</w:t>
      </w:r>
    </w:p>
    <w:p>
      <w:pPr>
        <w:numPr>
          <w:ilvl w:val="0"/>
          <w:numId w:val="0"/>
        </w:numPr>
        <w:ind w:firstLine="608" w:firstLineChars="200"/>
        <w:jc w:val="left"/>
        <w:rPr>
          <w:rFonts w:hint="eastAsia" w:ascii="黑体" w:hAnsi="黑体" w:eastAsia="黑体" w:cs="黑体"/>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粮食储藏、</w:t>
      </w:r>
      <w:r>
        <w:rPr>
          <w:rFonts w:hint="eastAsia" w:ascii="仿宋" w:hAnsi="仿宋" w:eastAsia="仿宋" w:cs="仿宋"/>
          <w:sz w:val="32"/>
          <w:szCs w:val="32"/>
          <w:lang w:val="en-US" w:eastAsia="zh-CN"/>
        </w:rPr>
        <w:t>营养健康、质量安全、粮油加工、现代物流、“智能粮食”、节粮减损及物资储备等领域，粮机装备研究开发，特别是信息化、生物、新材料等高新技术在行业中的新成果、新技术、新装备、新产品；</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新冠肺炎疫情发生以来，服务疫情防控、应急保供、复工复产等典型产品与成果；三</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科技成果可转化、可交易，具有技术先进性和转化成熟度；已通过成果评价、鉴定等第三方评估，且不涉密、能公开发布；</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具有自主知识产权，不存在侵犯他人知识产权或其他法律纠纷等情况。</w:t>
      </w:r>
    </w:p>
    <w:p>
      <w:pPr>
        <w:numPr>
          <w:ilvl w:val="0"/>
          <w:numId w:val="0"/>
        </w:numPr>
        <w:ind w:firstLine="608"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二、征集要求</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1.各单位要高度重视此次征集工作，通过推荐先进科技技术和创新应用案例，积极支持新技术新产品新服务更好应用于行业领域，促进产业高质量发展。</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2.各单位结合工作职能和涉及领域认真做好征集工作，从相关科技成果中筛选梳理出创新水平高、知识产权明晰、推广效应强、应用场景广的新技术新产品，让先进适用科技成果得到更好推广应用。</w:t>
      </w:r>
    </w:p>
    <w:p>
      <w:pPr>
        <w:numPr>
          <w:ilvl w:val="0"/>
          <w:numId w:val="0"/>
        </w:numPr>
        <w:ind w:firstLine="608"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三、征集方式</w:t>
      </w:r>
    </w:p>
    <w:p>
      <w:pPr>
        <w:numPr>
          <w:ilvl w:val="0"/>
          <w:numId w:val="0"/>
        </w:numPr>
        <w:ind w:firstLine="608" w:firstLineChars="200"/>
        <w:jc w:val="left"/>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请各单位自1月15日起登录“国家粮食技术转移中心信息平台”，自行注册并填报科技成果信息表（见附件）；有关行政管理部门如需批量填报信息，请联系平台工作人员批量录入。征集分为三个阶段：第一阶段征集意向（即日起至1月25日）；第二阶段详细填报（1月25日至2月25日）；第三阶段补充完善（2月25日至3月10日）。同时，信息表（电子版应以“单位名称”+“表名称”命名）按照上述时间节点要求发至邮箱，纸质信息表加盖单位公章后函告我局。</w:t>
      </w:r>
    </w:p>
    <w:p>
      <w:pPr>
        <w:numPr>
          <w:ilvl w:val="0"/>
          <w:numId w:val="0"/>
        </w:numPr>
        <w:ind w:firstLine="608"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四、展示推广应用</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入选的成果将在科技活动周等活动中通过展板、视频播放和相关科技辅助手段等方式进行成果展示，开展对接和转化应用服务，适时进行集中推介和宣传。</w:t>
      </w:r>
    </w:p>
    <w:p>
      <w:pPr>
        <w:numPr>
          <w:ilvl w:val="0"/>
          <w:numId w:val="0"/>
        </w:numPr>
        <w:ind w:firstLine="608"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spacing w:line="520" w:lineRule="exact"/>
        <w:ind w:firstLine="608" w:firstLineChars="200"/>
        <w:rPr>
          <w:rFonts w:ascii="仿宋_GB2312"/>
          <w:szCs w:val="32"/>
        </w:rPr>
      </w:pPr>
      <w:r>
        <w:rPr>
          <w:rFonts w:hint="eastAsia" w:ascii="仿宋_GB2312"/>
          <w:szCs w:val="32"/>
        </w:rPr>
        <w:t>联系处室：安全仓储与科技处；</w:t>
      </w:r>
    </w:p>
    <w:p>
      <w:pPr>
        <w:spacing w:line="520" w:lineRule="exact"/>
        <w:ind w:firstLine="608" w:firstLineChars="200"/>
        <w:rPr>
          <w:rFonts w:ascii="仿宋_GB2312"/>
          <w:szCs w:val="32"/>
        </w:rPr>
      </w:pPr>
      <w:r>
        <w:rPr>
          <w:rFonts w:hint="eastAsia" w:ascii="仿宋_GB2312"/>
          <w:szCs w:val="32"/>
        </w:rPr>
        <w:t>联系人：井</w:t>
      </w:r>
      <w:r>
        <w:rPr>
          <w:rFonts w:hint="eastAsia" w:ascii="仿宋_GB2312" w:hAnsi="宋体" w:eastAsia="宋体" w:cs="宋体"/>
          <w:szCs w:val="32"/>
        </w:rPr>
        <w:t>喆</w:t>
      </w:r>
      <w:r>
        <w:rPr>
          <w:rFonts w:hint="eastAsia" w:ascii="仿宋_GB2312" w:hAnsi="仿宋_GB2312" w:cs="仿宋_GB2312"/>
          <w:szCs w:val="32"/>
        </w:rPr>
        <w:t>；</w:t>
      </w:r>
    </w:p>
    <w:p>
      <w:pPr>
        <w:spacing w:line="520" w:lineRule="exact"/>
        <w:ind w:firstLine="608" w:firstLineChars="200"/>
        <w:rPr>
          <w:rFonts w:ascii="仿宋_GB2312"/>
          <w:szCs w:val="32"/>
        </w:rPr>
      </w:pPr>
      <w:r>
        <w:rPr>
          <w:rFonts w:hint="eastAsia" w:ascii="仿宋_GB2312"/>
          <w:szCs w:val="32"/>
        </w:rPr>
        <w:t>联系电话：55574659；</w:t>
      </w:r>
    </w:p>
    <w:p>
      <w:pPr>
        <w:spacing w:line="520" w:lineRule="exact"/>
        <w:ind w:firstLine="608" w:firstLineChars="200"/>
        <w:rPr>
          <w:rFonts w:ascii="仿宋_GB2312"/>
          <w:szCs w:val="32"/>
        </w:rPr>
      </w:pPr>
      <w:r>
        <w:rPr>
          <w:rFonts w:hint="eastAsia" w:ascii="仿宋_GB2312"/>
          <w:szCs w:val="32"/>
        </w:rPr>
        <w:t>电子邮箱：jingzhe@lsj.beijing.gov.cn</w:t>
      </w:r>
    </w:p>
    <w:p>
      <w:pPr>
        <w:spacing w:line="520" w:lineRule="exact"/>
        <w:ind w:firstLine="608" w:firstLineChars="200"/>
        <w:rPr>
          <w:rFonts w:ascii="仿宋_GB2312"/>
          <w:szCs w:val="32"/>
        </w:rPr>
      </w:pPr>
      <w:r>
        <w:rPr>
          <w:rFonts w:hint="eastAsia" w:ascii="仿宋_GB2312"/>
          <w:szCs w:val="32"/>
        </w:rPr>
        <w:t>地址：北京市通州区运河东大街57号院6号楼</w:t>
      </w:r>
    </w:p>
    <w:p>
      <w:pPr>
        <w:spacing w:line="520" w:lineRule="exact"/>
        <w:ind w:firstLine="608" w:firstLineChars="200"/>
        <w:rPr>
          <w:rFonts w:hint="eastAsia" w:ascii="仿宋_GB2312"/>
          <w:szCs w:val="32"/>
        </w:rPr>
      </w:pPr>
      <w:r>
        <w:rPr>
          <w:rFonts w:hint="eastAsia" w:ascii="仿宋_GB2312"/>
          <w:szCs w:val="32"/>
        </w:rPr>
        <w:t>邮编：100744</w:t>
      </w:r>
    </w:p>
    <w:p>
      <w:pPr>
        <w:spacing w:line="520" w:lineRule="exact"/>
        <w:ind w:firstLine="608" w:firstLineChars="200"/>
        <w:rPr>
          <w:rFonts w:hint="eastAsia" w:ascii="仿宋_GB2312"/>
          <w:szCs w:val="32"/>
        </w:rPr>
      </w:pP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平台联系人：丁子福</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027-63374890；13971353350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附件：2022年度科技成果参展项目征集表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p>
    <w:p>
      <w:pPr>
        <w:spacing w:line="520" w:lineRule="exact"/>
        <w:ind w:firstLine="608" w:firstLineChars="200"/>
        <w:rPr>
          <w:rFonts w:ascii="仿宋_GB2312"/>
          <w:szCs w:val="32"/>
        </w:rPr>
      </w:pPr>
    </w:p>
    <w:p>
      <w:pPr>
        <w:spacing w:line="520" w:lineRule="exact"/>
        <w:ind w:firstLine="608" w:firstLineChars="200"/>
        <w:rPr>
          <w:rFonts w:ascii="仿宋_GB2312"/>
          <w:szCs w:val="32"/>
        </w:rPr>
      </w:pPr>
    </w:p>
    <w:p>
      <w:pPr>
        <w:spacing w:line="520" w:lineRule="exact"/>
        <w:ind w:firstLine="4864" w:firstLineChars="1600"/>
        <w:rPr>
          <w:rFonts w:ascii="仿宋_GB2312"/>
          <w:szCs w:val="32"/>
        </w:rPr>
      </w:pPr>
      <w:r>
        <w:rPr>
          <w:rFonts w:hint="eastAsia" w:ascii="仿宋_GB2312"/>
          <w:szCs w:val="32"/>
        </w:rPr>
        <w:t>北京市粮食和物资储备局</w:t>
      </w:r>
    </w:p>
    <w:p>
      <w:pPr>
        <w:spacing w:line="520" w:lineRule="exact"/>
        <w:ind w:firstLine="608" w:firstLineChars="200"/>
        <w:rPr>
          <w:sz w:val="28"/>
          <w:szCs w:val="28"/>
        </w:rPr>
      </w:pPr>
      <w:r>
        <w:rPr>
          <w:rFonts w:hint="eastAsia" w:ascii="仿宋_GB2312"/>
          <w:szCs w:val="32"/>
        </w:rPr>
        <w:t xml:space="preserve">                               202</w:t>
      </w:r>
      <w:r>
        <w:rPr>
          <w:rFonts w:hint="eastAsia" w:ascii="仿宋_GB2312"/>
          <w:szCs w:val="32"/>
          <w:lang w:val="en-US" w:eastAsia="zh-CN"/>
        </w:rPr>
        <w:t>2</w:t>
      </w:r>
      <w:r>
        <w:rPr>
          <w:rFonts w:hint="eastAsia" w:ascii="仿宋_GB2312"/>
          <w:szCs w:val="32"/>
        </w:rPr>
        <w:t>年1月 1</w:t>
      </w:r>
      <w:r>
        <w:rPr>
          <w:rFonts w:hint="eastAsia" w:ascii="仿宋_GB2312"/>
          <w:szCs w:val="32"/>
          <w:lang w:val="en-US" w:eastAsia="zh-CN"/>
        </w:rPr>
        <w:t>1</w:t>
      </w:r>
      <w:r>
        <w:rPr>
          <w:rFonts w:hint="eastAsia" w:ascii="仿宋_GB2312"/>
          <w:szCs w:val="32"/>
        </w:rPr>
        <w:t>日</w:t>
      </w:r>
    </w:p>
    <w:p>
      <w:pPr>
        <w:spacing w:line="520" w:lineRule="exact"/>
        <w:ind w:firstLine="2112" w:firstLineChars="800"/>
        <w:rPr>
          <w:sz w:val="28"/>
          <w:szCs w:val="28"/>
        </w:rPr>
      </w:pPr>
    </w:p>
    <w:p>
      <w:pPr>
        <w:spacing w:line="520" w:lineRule="exact"/>
        <w:ind w:firstLine="608" w:firstLineChars="200"/>
        <w:rPr>
          <w:rFonts w:ascii="仿宋_GB2312"/>
          <w:szCs w:val="32"/>
        </w:rPr>
      </w:pPr>
    </w:p>
    <w:p>
      <w:pPr>
        <w:spacing w:line="540" w:lineRule="exact"/>
        <w:jc w:val="left"/>
        <w:rPr>
          <w:rFonts w:hint="eastAsia" w:ascii="仿宋_GB2312" w:hAnsi="仿宋_GB2312"/>
          <w:sz w:val="28"/>
          <w:szCs w:val="28"/>
        </w:rPr>
      </w:pPr>
      <w:r>
        <w:rPr>
          <w:rFonts w:hint="eastAsia" w:ascii="仿宋_GB2312" w:hAnsi="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_GB2312"/>
          <w:szCs w:val="32"/>
        </w:rPr>
        <mc:AlternateContent>
          <mc:Choice Requires="wps">
            <w:drawing>
              <wp:anchor distT="0" distB="0" distL="114300" distR="114300" simplePos="0" relativeHeight="251659264" behindDoc="1" locked="0" layoutInCell="1" allowOverlap="1">
                <wp:simplePos x="0" y="0"/>
                <wp:positionH relativeFrom="column">
                  <wp:posOffset>-33020</wp:posOffset>
                </wp:positionH>
                <wp:positionV relativeFrom="paragraph">
                  <wp:posOffset>1155065</wp:posOffset>
                </wp:positionV>
                <wp:extent cx="5547360" cy="0"/>
                <wp:effectExtent l="0" t="19050" r="15240" b="38100"/>
                <wp:wrapNone/>
                <wp:docPr id="1" name="Line 3"/>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nThick">
                          <a:solidFill>
                            <a:srgbClr val="FF0000"/>
                          </a:solidFill>
                          <a:round/>
                        </a:ln>
                      </wps:spPr>
                      <wps:bodyPr/>
                    </wps:wsp>
                  </a:graphicData>
                </a:graphic>
              </wp:anchor>
            </w:drawing>
          </mc:Choice>
          <mc:Fallback>
            <w:pict>
              <v:line id="Line 3" o:spid="_x0000_s1026" o:spt="20" style="position:absolute;left:0pt;margin-left:-2.6pt;margin-top:90.95pt;height:0pt;width:436.8pt;z-index:-251657216;mso-width-relative:page;mso-height-relative:page;" filled="f" stroked="t" coordsize="21600,21600" o:gfxdata="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SIpcjWAAAACgEAAA8AAAAAAAAAAQAgAAAAOAAAAGRycy9kb3ducmV2LnhtbFBLAQIUABQAAAAI&#10;AIdO4kCXCLa7oAEAADEDAAAOAAAAAAAAAAEAIAAAADsBAABkcnMvZTJvRG9jLnhtbFBLBQYAAAAA&#10;BgAGAFkBAABNBQ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科技成果征集表</w:t>
      </w:r>
    </w:p>
    <w:tbl>
      <w:tblPr>
        <w:tblStyle w:val="6"/>
        <w:tblW w:w="0" w:type="auto"/>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53"/>
        <w:gridCol w:w="1667"/>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val="0"/>
                <w:bCs w:val="0"/>
                <w:i w:val="0"/>
                <w:color w:val="000000"/>
                <w:kern w:val="0"/>
                <w:sz w:val="24"/>
                <w:szCs w:val="24"/>
                <w:u w:val="none"/>
                <w:lang w:val="en-US" w:eastAsia="zh-CN" w:bidi="ar-SA"/>
              </w:rPr>
            </w:pPr>
            <w:r>
              <w:rPr>
                <w:rFonts w:hint="eastAsia" w:ascii="黑体" w:hAnsi="黑体" w:eastAsia="黑体" w:cs="黑体"/>
                <w:b w:val="0"/>
                <w:bCs w:val="0"/>
                <w:kern w:val="16"/>
                <w:sz w:val="24"/>
                <w:szCs w:val="24"/>
              </w:rPr>
              <w:t>参展单位</w:t>
            </w:r>
          </w:p>
        </w:tc>
        <w:tc>
          <w:tcPr>
            <w:tcW w:w="8612"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8" w:lineRule="auto"/>
              <w:ind w:left="0" w:leftChars="0" w:right="0" w:rightChars="0" w:firstLine="224"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单位名称（盖章）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288" w:lineRule="auto"/>
              <w:ind w:left="0" w:leftChars="0" w:right="0" w:rightChars="0" w:firstLine="224" w:firstLineChars="100"/>
              <w:jc w:val="both"/>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法人代表：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val="0"/>
              <w:bidi w:val="0"/>
              <w:adjustRightInd/>
              <w:snapToGrid/>
              <w:spacing w:line="288" w:lineRule="auto"/>
              <w:ind w:left="0" w:leftChars="0" w:right="0" w:rightChars="0" w:firstLine="224" w:firstLineChars="100"/>
              <w:jc w:val="both"/>
              <w:textAlignment w:val="auto"/>
              <w:outlineLvl w:val="9"/>
              <w:rPr>
                <w:rFonts w:hint="eastAsia" w:ascii="仿宋" w:hAnsi="仿宋" w:eastAsia="仿宋" w:cs="仿宋"/>
                <w:sz w:val="24"/>
                <w:szCs w:val="24"/>
                <w:u w:val="single"/>
              </w:rPr>
            </w:pPr>
            <w:r>
              <w:rPr>
                <w:rFonts w:hint="eastAsia" w:ascii="仿宋" w:hAnsi="仿宋" w:eastAsia="仿宋" w:cs="仿宋"/>
                <w:sz w:val="24"/>
                <w:szCs w:val="24"/>
                <w:lang w:eastAsia="zh-CN"/>
              </w:rPr>
              <w:t>参展</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val="0"/>
              <w:bidi w:val="0"/>
              <w:adjustRightInd/>
              <w:snapToGrid/>
              <w:spacing w:line="288" w:lineRule="auto"/>
              <w:ind w:left="0" w:leftChars="0" w:right="0" w:rightChars="0" w:firstLine="224" w:firstLineChars="100"/>
              <w:jc w:val="both"/>
              <w:textAlignment w:val="auto"/>
              <w:outlineLvl w:val="9"/>
              <w:rPr>
                <w:rFonts w:hint="eastAsia" w:ascii="仿宋" w:hAnsi="仿宋" w:eastAsia="仿宋" w:cs="仿宋"/>
                <w:sz w:val="24"/>
                <w:szCs w:val="24"/>
                <w:u w:val="single"/>
              </w:rPr>
            </w:pPr>
            <w:r>
              <w:rPr>
                <w:rFonts w:hint="eastAsia" w:ascii="仿宋" w:hAnsi="仿宋" w:eastAsia="仿宋" w:cs="仿宋"/>
                <w:sz w:val="24"/>
                <w:szCs w:val="24"/>
                <w:lang w:eastAsia="zh-CN"/>
              </w:rPr>
              <w:t>手机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rPr>
                <w:rFonts w:hint="eastAsia" w:ascii="仿宋" w:hAnsi="仿宋" w:eastAsia="仿宋" w:cs="仿宋"/>
                <w:b/>
                <w:bCs/>
                <w:i w:val="0"/>
                <w:color w:val="000000"/>
                <w:kern w:val="0"/>
                <w:sz w:val="24"/>
                <w:szCs w:val="24"/>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电子邮件：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b/>
                <w:bCs/>
                <w:i w:val="0"/>
                <w:color w:val="000000"/>
                <w:kern w:val="0"/>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val="0"/>
                <w:bCs w:val="0"/>
                <w:i w:val="0"/>
                <w:color w:val="000000"/>
                <w:kern w:val="0"/>
                <w:sz w:val="24"/>
                <w:szCs w:val="24"/>
                <w:u w:val="none"/>
                <w:lang w:val="en-US" w:eastAsia="zh-CN" w:bidi="ar-SA"/>
              </w:rPr>
            </w:pPr>
            <w:r>
              <w:rPr>
                <w:rFonts w:hint="eastAsia" w:ascii="黑体" w:hAnsi="黑体" w:eastAsia="黑体" w:cs="黑体"/>
                <w:b w:val="0"/>
                <w:bCs w:val="0"/>
                <w:i w:val="0"/>
                <w:color w:val="000000"/>
                <w:kern w:val="0"/>
                <w:sz w:val="24"/>
                <w:szCs w:val="24"/>
                <w:u w:val="none"/>
                <w:lang w:val="en-US" w:eastAsia="zh-CN" w:bidi="ar-SA"/>
              </w:rPr>
              <w:t>推荐单位</w:t>
            </w: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color w:val="FF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bidi="ar-SA"/>
              </w:rPr>
              <w:t>技术领域</w:t>
            </w: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i w:val="0"/>
                <w:color w:val="auto"/>
                <w:kern w:val="0"/>
                <w:sz w:val="24"/>
                <w:szCs w:val="24"/>
                <w:u w:val="none"/>
                <w:lang w:val="en-US" w:eastAsia="zh-CN" w:bidi="ar-SA"/>
              </w:rPr>
              <w:t>□粮食烘干   □粮食清理 □粮食储藏   □粮油加工   □粮油营养  □信息化</w:t>
            </w:r>
          </w:p>
          <w:p>
            <w:pPr>
              <w:rPr>
                <w:rFonts w:hint="eastAsia" w:ascii="仿宋" w:hAnsi="仿宋" w:eastAsia="仿宋" w:cs="仿宋"/>
                <w:b/>
                <w:bCs/>
                <w:i w:val="0"/>
                <w:color w:val="auto"/>
                <w:sz w:val="24"/>
                <w:szCs w:val="24"/>
                <w:u w:val="none"/>
                <w:lang w:eastAsia="zh-CN"/>
              </w:rPr>
            </w:pPr>
            <w:r>
              <w:rPr>
                <w:rFonts w:hint="eastAsia" w:ascii="仿宋" w:hAnsi="仿宋" w:eastAsia="仿宋" w:cs="仿宋"/>
                <w:i w:val="0"/>
                <w:color w:val="auto"/>
                <w:kern w:val="0"/>
                <w:sz w:val="24"/>
                <w:szCs w:val="24"/>
                <w:u w:val="none"/>
                <w:lang w:val="en-US" w:eastAsia="zh-CN" w:bidi="ar-SA"/>
              </w:rPr>
              <w:t>□粮油质检   □物资储备 □高效物流   □安全生产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5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i w:val="0"/>
                <w:color w:val="auto"/>
                <w:kern w:val="0"/>
                <w:sz w:val="24"/>
                <w:szCs w:val="24"/>
                <w:u w:val="none"/>
                <w:lang w:val="en-US" w:eastAsia="zh-CN" w:bidi="ar-SA"/>
              </w:rPr>
              <w:t>展位数量申请及展示形式</w:t>
            </w: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i w:val="0"/>
                <w:color w:val="auto"/>
                <w:kern w:val="0"/>
                <w:sz w:val="24"/>
                <w:szCs w:val="24"/>
                <w:u w:val="none"/>
                <w:lang w:val="en-US" w:eastAsia="zh-CN" w:bidi="ar-SA"/>
              </w:rPr>
              <w:t>□展位数量（3*3米，  个）  □展板（0.9*1.2米）   □产品  □实物或模型   □多媒体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5" w:hRule="atLeast"/>
        </w:trPr>
        <w:tc>
          <w:tcPr>
            <w:tcW w:w="175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i w:val="0"/>
                <w:color w:val="auto"/>
                <w:kern w:val="0"/>
                <w:sz w:val="24"/>
                <w:szCs w:val="24"/>
                <w:u w:val="none"/>
                <w:lang w:val="en-US" w:eastAsia="zh-CN" w:bidi="ar-SA"/>
              </w:rPr>
              <w:t>其他说明及展示要求</w:t>
            </w: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753"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技术成果1</w:t>
            </w:r>
            <w:r>
              <w:rPr>
                <w:rFonts w:hint="eastAsia" w:ascii="黑体" w:hAnsi="黑体" w:eastAsia="黑体" w:cs="黑体"/>
                <w:b w:val="0"/>
                <w:bCs w:val="0"/>
                <w:color w:val="auto"/>
                <w:sz w:val="24"/>
                <w:szCs w:val="24"/>
              </w:rPr>
              <w:t>（必填项）：</w:t>
            </w:r>
          </w:p>
          <w:p>
            <w:pPr>
              <w:spacing w:line="340" w:lineRule="exact"/>
              <w:jc w:val="center"/>
              <w:rPr>
                <w:rFonts w:hint="eastAsia" w:ascii="黑体" w:hAnsi="黑体" w:eastAsia="黑体" w:cs="黑体"/>
                <w:b w:val="0"/>
                <w:bCs w:val="0"/>
                <w:color w:val="auto"/>
                <w:sz w:val="24"/>
                <w:szCs w:val="24"/>
              </w:rPr>
            </w:pPr>
          </w:p>
          <w:p>
            <w:pPr>
              <w:spacing w:line="340" w:lineRule="exact"/>
              <w:jc w:val="center"/>
              <w:rPr>
                <w:rFonts w:hint="eastAsia" w:ascii="黑体" w:hAnsi="黑体" w:eastAsia="黑体" w:cs="黑体"/>
                <w:b w:val="0"/>
                <w:bCs w:val="0"/>
                <w:color w:val="auto"/>
                <w:sz w:val="24"/>
                <w:szCs w:val="24"/>
              </w:rPr>
            </w:pPr>
          </w:p>
          <w:p>
            <w:pPr>
              <w:spacing w:line="340" w:lineRule="exact"/>
              <w:jc w:val="center"/>
              <w:rPr>
                <w:rFonts w:hint="eastAsia" w:ascii="黑体" w:hAnsi="黑体" w:eastAsia="黑体" w:cs="黑体"/>
                <w:b w:val="0"/>
                <w:bCs w:val="0"/>
                <w:color w:val="auto"/>
                <w:sz w:val="24"/>
                <w:szCs w:val="24"/>
              </w:rPr>
            </w:pPr>
          </w:p>
          <w:p>
            <w:pPr>
              <w:keepNext w:val="0"/>
              <w:keepLines w:val="0"/>
              <w:widowControl/>
              <w:suppressLineNumbers w:val="0"/>
              <w:jc w:val="center"/>
              <w:textAlignment w:val="center"/>
              <w:rPr>
                <w:rFonts w:hint="eastAsia" w:ascii="黑体" w:hAnsi="黑体" w:eastAsia="黑体" w:cs="黑体"/>
                <w:b w:val="0"/>
                <w:bCs w:val="0"/>
                <w:i w:val="0"/>
                <w:color w:val="auto"/>
                <w:sz w:val="24"/>
                <w:szCs w:val="24"/>
                <w:u w:val="none"/>
              </w:rPr>
            </w:pPr>
          </w:p>
        </w:tc>
        <w:tc>
          <w:tcPr>
            <w:tcW w:w="166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技术成熟度</w:t>
            </w:r>
          </w:p>
        </w:tc>
        <w:tc>
          <w:tcPr>
            <w:tcW w:w="69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SA"/>
              </w:rPr>
              <w:t>□实验室（或样品）  □小试    □中试   □形成产品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75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auto"/>
                <w:sz w:val="24"/>
                <w:szCs w:val="24"/>
                <w:u w:val="none"/>
              </w:rPr>
            </w:pPr>
          </w:p>
        </w:tc>
        <w:tc>
          <w:tcPr>
            <w:tcW w:w="1667"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成果类型</w:t>
            </w:r>
          </w:p>
        </w:tc>
        <w:tc>
          <w:tcPr>
            <w:tcW w:w="69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□发明专利 □新产品 □新装置 □新材料　□新工艺（新方法、新模式） □计算机软件　□技术标准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6" w:hRule="atLeast"/>
        </w:trPr>
        <w:tc>
          <w:tcPr>
            <w:tcW w:w="175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auto"/>
                <w:sz w:val="24"/>
                <w:szCs w:val="24"/>
              </w:rPr>
            </w:pPr>
          </w:p>
        </w:tc>
        <w:tc>
          <w:tcPr>
            <w:tcW w:w="861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成果简介：技术的主要创新点、先进性等；产品特点、产能及主要经济技术指标等），知识产权的申请和授权情况，知识产权所有人等。如果有相关报道、已经发表的文章或汇报材料。可图文并茂，字数300—500字，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175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auto"/>
                <w:sz w:val="24"/>
                <w:szCs w:val="24"/>
              </w:rPr>
            </w:pPr>
          </w:p>
        </w:tc>
        <w:tc>
          <w:tcPr>
            <w:tcW w:w="861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SA"/>
              </w:rPr>
            </w:pPr>
            <w:r>
              <w:rPr>
                <w:rFonts w:hint="eastAsia" w:ascii="仿宋" w:hAnsi="仿宋" w:eastAsia="仿宋" w:cs="仿宋"/>
                <w:b/>
                <w:bCs/>
                <w:i w:val="0"/>
                <w:color w:val="auto"/>
                <w:kern w:val="0"/>
                <w:sz w:val="24"/>
                <w:szCs w:val="24"/>
                <w:u w:val="none"/>
                <w:lang w:val="en-US" w:eastAsia="zh-CN" w:bidi="ar-SA"/>
              </w:rPr>
              <w:t>技术推广分析</w:t>
            </w:r>
            <w:r>
              <w:rPr>
                <w:rFonts w:hint="eastAsia" w:ascii="仿宋" w:hAnsi="仿宋" w:eastAsia="仿宋" w:cs="仿宋"/>
                <w:b w:val="0"/>
                <w:bCs w:val="0"/>
                <w:i w:val="0"/>
                <w:color w:val="auto"/>
                <w:kern w:val="0"/>
                <w:sz w:val="24"/>
                <w:szCs w:val="24"/>
                <w:u w:val="none"/>
                <w:lang w:val="en-US" w:eastAsia="zh-CN" w:bidi="ar-SA"/>
              </w:rPr>
              <w:t>：目标市场、市场规模等；市场竞争预测（其他同类产品情况、其他公司情况）；本成果核心竞争优势；成果的推广、应用、示范情况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6" w:hRule="atLeast"/>
        </w:trPr>
        <w:tc>
          <w:tcPr>
            <w:tcW w:w="175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auto"/>
                <w:sz w:val="24"/>
                <w:szCs w:val="24"/>
                <w:lang w:eastAsia="zh-CN"/>
              </w:rPr>
            </w:pPr>
          </w:p>
        </w:tc>
        <w:tc>
          <w:tcPr>
            <w:tcW w:w="861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SA"/>
              </w:rPr>
            </w:pPr>
            <w:r>
              <w:rPr>
                <w:rFonts w:hint="eastAsia" w:ascii="仿宋" w:hAnsi="仿宋" w:eastAsia="仿宋" w:cs="仿宋"/>
                <w:b/>
                <w:bCs/>
                <w:color w:val="auto"/>
                <w:sz w:val="24"/>
                <w:szCs w:val="24"/>
                <w:lang w:eastAsia="zh-CN"/>
              </w:rPr>
              <w:t>合作意向</w:t>
            </w:r>
            <w:r>
              <w:rPr>
                <w:rFonts w:hint="eastAsia" w:ascii="仿宋" w:hAnsi="仿宋" w:eastAsia="仿宋" w:cs="仿宋"/>
                <w:b w:val="0"/>
                <w:bCs w:val="0"/>
                <w:i w:val="0"/>
                <w:color w:val="auto"/>
                <w:kern w:val="0"/>
                <w:sz w:val="24"/>
                <w:szCs w:val="24"/>
                <w:u w:val="none"/>
                <w:lang w:val="en-US" w:eastAsia="zh-CN" w:bidi="ar-SA"/>
              </w:rPr>
              <w:t>（可多选）：</w:t>
            </w:r>
          </w:p>
          <w:p>
            <w:pPr>
              <w:keepNext w:val="0"/>
              <w:keepLines w:val="0"/>
              <w:widowControl/>
              <w:suppressLineNumbers w:val="0"/>
              <w:jc w:val="left"/>
              <w:textAlignment w:val="center"/>
              <w:rPr>
                <w:rFonts w:hint="eastAsia" w:ascii="仿宋" w:hAnsi="仿宋" w:eastAsia="仿宋" w:cs="仿宋"/>
                <w:b w:val="0"/>
                <w:bCs w:val="0"/>
                <w:i w:val="0"/>
                <w:color w:val="auto"/>
                <w:kern w:val="0"/>
                <w:sz w:val="24"/>
                <w:szCs w:val="24"/>
                <w:u w:val="none"/>
                <w:lang w:val="en-US" w:eastAsia="zh-CN" w:bidi="ar-SA"/>
              </w:rPr>
            </w:pPr>
            <w:r>
              <w:rPr>
                <w:rFonts w:hint="eastAsia" w:ascii="仿宋" w:hAnsi="仿宋" w:eastAsia="仿宋" w:cs="仿宋"/>
                <w:b w:val="0"/>
                <w:bCs w:val="0"/>
                <w:i w:val="0"/>
                <w:color w:val="auto"/>
                <w:kern w:val="0"/>
                <w:sz w:val="24"/>
                <w:szCs w:val="24"/>
                <w:u w:val="none"/>
                <w:lang w:val="en-US" w:eastAsia="zh-CN" w:bidi="ar-SA"/>
              </w:rPr>
              <w:t>□ 技术转让  □ 技术许可 □ 合作研发 □ 中试试验 □ 技术融资 □ 技术作价入股 □ 其他（请描述）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753" w:type="dxa"/>
            <w:vMerge w:val="restart"/>
            <w:tcBorders>
              <w:top w:val="single" w:color="000000" w:sz="4" w:space="0"/>
              <w:left w:val="single" w:color="000000" w:sz="4" w:space="0"/>
              <w:right w:val="single" w:color="000000" w:sz="4" w:space="0"/>
            </w:tcBorders>
            <w:noWrap w:val="0"/>
            <w:vAlign w:val="center"/>
          </w:tcPr>
          <w:p>
            <w:pPr>
              <w:spacing w:line="340" w:lineRule="exact"/>
              <w:jc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技术成果</w:t>
            </w:r>
            <w:r>
              <w:rPr>
                <w:rFonts w:hint="eastAsia" w:ascii="黑体" w:hAnsi="黑体" w:eastAsia="黑体" w:cs="黑体"/>
                <w:b w:val="0"/>
                <w:bCs w:val="0"/>
                <w:color w:val="auto"/>
                <w:sz w:val="24"/>
                <w:szCs w:val="24"/>
                <w:lang w:val="en-US" w:eastAsia="zh-CN"/>
              </w:rPr>
              <w:t>2</w:t>
            </w:r>
            <w:r>
              <w:rPr>
                <w:rFonts w:hint="eastAsia" w:ascii="黑体" w:hAnsi="黑体" w:eastAsia="黑体" w:cs="黑体"/>
                <w:b w:val="0"/>
                <w:bCs w:val="0"/>
                <w:color w:val="auto"/>
                <w:sz w:val="24"/>
                <w:szCs w:val="24"/>
              </w:rPr>
              <w:t>（必填项）：</w:t>
            </w:r>
          </w:p>
          <w:p>
            <w:pPr>
              <w:spacing w:line="340" w:lineRule="exact"/>
              <w:jc w:val="center"/>
              <w:rPr>
                <w:rFonts w:hint="eastAsia" w:ascii="黑体" w:hAnsi="黑体" w:eastAsia="黑体" w:cs="黑体"/>
                <w:b w:val="0"/>
                <w:bCs w:val="0"/>
                <w:color w:val="auto"/>
                <w:sz w:val="24"/>
                <w:szCs w:val="24"/>
              </w:rPr>
            </w:pPr>
          </w:p>
          <w:p>
            <w:pPr>
              <w:spacing w:line="340" w:lineRule="exact"/>
              <w:jc w:val="center"/>
              <w:rPr>
                <w:rFonts w:hint="eastAsia" w:ascii="黑体" w:hAnsi="黑体" w:eastAsia="黑体" w:cs="黑体"/>
                <w:b w:val="0"/>
                <w:bCs w:val="0"/>
                <w:color w:val="auto"/>
                <w:sz w:val="24"/>
                <w:szCs w:val="24"/>
              </w:rPr>
            </w:pPr>
          </w:p>
          <w:p>
            <w:pPr>
              <w:spacing w:line="340" w:lineRule="exact"/>
              <w:jc w:val="center"/>
              <w:rPr>
                <w:rFonts w:hint="eastAsia" w:ascii="黑体" w:hAnsi="黑体" w:eastAsia="黑体" w:cs="黑体"/>
                <w:b w:val="0"/>
                <w:bCs w:val="0"/>
                <w:color w:val="auto"/>
                <w:sz w:val="24"/>
                <w:szCs w:val="24"/>
              </w:rPr>
            </w:pPr>
          </w:p>
          <w:p>
            <w:pPr>
              <w:keepNext w:val="0"/>
              <w:keepLines w:val="0"/>
              <w:widowControl/>
              <w:suppressLineNumbers w:val="0"/>
              <w:jc w:val="center"/>
              <w:textAlignment w:val="center"/>
              <w:rPr>
                <w:rFonts w:hint="eastAsia" w:ascii="黑体" w:hAnsi="黑体" w:eastAsia="黑体" w:cs="黑体"/>
                <w:b w:val="0"/>
                <w:bCs w:val="0"/>
                <w:i w:val="0"/>
                <w:color w:val="auto"/>
                <w:sz w:val="24"/>
                <w:szCs w:val="24"/>
                <w:u w:val="none"/>
                <w:lang w:val="en-US" w:eastAsia="zh-CN"/>
              </w:rPr>
            </w:pPr>
          </w:p>
        </w:tc>
        <w:tc>
          <w:tcPr>
            <w:tcW w:w="166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技术成熟度</w:t>
            </w:r>
          </w:p>
        </w:tc>
        <w:tc>
          <w:tcPr>
            <w:tcW w:w="69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□实验室（或样品）  □小试    □中试   □形成产品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5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color w:val="auto"/>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成果类型</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□发明专利 □新产品 □新装置 □新材料　□新工艺（新方法、新模式） □计算机软件　□技术标准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5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color w:val="auto"/>
                <w:sz w:val="24"/>
                <w:szCs w:val="24"/>
                <w:u w:val="none"/>
                <w:lang w:val="en-US" w:eastAsia="zh-CN"/>
              </w:rPr>
            </w:pP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SA"/>
              </w:rPr>
              <w:t>成果简介（主要内容包括：技术的主要创新点、先进性等；产品特点、产能及主要经济技术指标等），知识产权的申请和授权情况，知识产权所有人等。如果有相关报道、已经发表的文章或汇报材料。可图文并茂，字数300—500字，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trPr>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color w:val="000000"/>
                <w:sz w:val="24"/>
                <w:szCs w:val="24"/>
                <w:u w:val="none"/>
                <w:lang w:val="en-US" w:eastAsia="zh-CN"/>
              </w:rPr>
            </w:pPr>
            <w:r>
              <w:rPr>
                <w:rFonts w:hint="eastAsia" w:ascii="黑体" w:hAnsi="黑体" w:eastAsia="黑体" w:cs="黑体"/>
                <w:b w:val="0"/>
                <w:bCs w:val="0"/>
                <w:i w:val="0"/>
                <w:color w:val="000000"/>
                <w:sz w:val="24"/>
                <w:szCs w:val="24"/>
                <w:u w:val="none"/>
                <w:lang w:val="en-US" w:eastAsia="zh-CN"/>
              </w:rPr>
              <w:t>.......</w:t>
            </w:r>
          </w:p>
        </w:tc>
        <w:tc>
          <w:tcPr>
            <w:tcW w:w="861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sz w:val="24"/>
                <w:szCs w:val="24"/>
                <w:u w:val="none"/>
                <w:lang w:val="en-US" w:eastAsia="zh-CN"/>
              </w:rPr>
              <w:t>..........</w:t>
            </w:r>
          </w:p>
        </w:tc>
      </w:tr>
    </w:tbl>
    <w:p>
      <w:pPr>
        <w:rPr>
          <w:rFonts w:hint="eastAsia" w:ascii="仿宋" w:hAnsi="仿宋" w:eastAsia="仿宋" w:cs="仿宋"/>
          <w:sz w:val="32"/>
          <w:szCs w:val="32"/>
          <w:lang w:val="en-US" w:eastAsia="zh-CN"/>
        </w:rPr>
      </w:pPr>
    </w:p>
    <w:p>
      <w:pPr>
        <w:spacing w:line="520" w:lineRule="exact"/>
        <w:rPr>
          <w:sz w:val="28"/>
          <w:szCs w:val="28"/>
        </w:rPr>
      </w:pPr>
    </w:p>
    <w:sectPr>
      <w:footerReference r:id="rId3" w:type="default"/>
      <w:footerReference r:id="rId4" w:type="even"/>
      <w:pgSz w:w="11906" w:h="16838"/>
      <w:pgMar w:top="2098" w:right="1588" w:bottom="851" w:left="1588" w:header="1247" w:footer="1588" w:gutter="0"/>
      <w:cols w:space="425" w:num="1"/>
      <w:titlePg/>
      <w:docGrid w:type="linesAndChars" w:linePitch="289"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DejaVu San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7"/>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1F"/>
    <w:rsid w:val="00011D5A"/>
    <w:rsid w:val="00015A28"/>
    <w:rsid w:val="000279CF"/>
    <w:rsid w:val="00032388"/>
    <w:rsid w:val="00034F60"/>
    <w:rsid w:val="00063E0D"/>
    <w:rsid w:val="00066DB7"/>
    <w:rsid w:val="000817AD"/>
    <w:rsid w:val="000B1355"/>
    <w:rsid w:val="000D1A49"/>
    <w:rsid w:val="000E6098"/>
    <w:rsid w:val="000F1D3C"/>
    <w:rsid w:val="000F4BB0"/>
    <w:rsid w:val="00112C8D"/>
    <w:rsid w:val="0011487F"/>
    <w:rsid w:val="00131AB0"/>
    <w:rsid w:val="00186D2E"/>
    <w:rsid w:val="001A2095"/>
    <w:rsid w:val="001A4ABA"/>
    <w:rsid w:val="001A757A"/>
    <w:rsid w:val="001B05D7"/>
    <w:rsid w:val="001B3298"/>
    <w:rsid w:val="001B7478"/>
    <w:rsid w:val="001E2D4A"/>
    <w:rsid w:val="001E545A"/>
    <w:rsid w:val="001E58CD"/>
    <w:rsid w:val="001F171F"/>
    <w:rsid w:val="001F3937"/>
    <w:rsid w:val="00205356"/>
    <w:rsid w:val="00220F2A"/>
    <w:rsid w:val="00236F60"/>
    <w:rsid w:val="002423D3"/>
    <w:rsid w:val="002426A5"/>
    <w:rsid w:val="00264015"/>
    <w:rsid w:val="002721DB"/>
    <w:rsid w:val="002B38D8"/>
    <w:rsid w:val="002B6E99"/>
    <w:rsid w:val="002D69C4"/>
    <w:rsid w:val="002E1007"/>
    <w:rsid w:val="002E54D8"/>
    <w:rsid w:val="002E5A2E"/>
    <w:rsid w:val="002F0A91"/>
    <w:rsid w:val="002F5201"/>
    <w:rsid w:val="003051F7"/>
    <w:rsid w:val="00325F51"/>
    <w:rsid w:val="00334818"/>
    <w:rsid w:val="00337E9D"/>
    <w:rsid w:val="00346D24"/>
    <w:rsid w:val="00350299"/>
    <w:rsid w:val="00371E0B"/>
    <w:rsid w:val="003821A0"/>
    <w:rsid w:val="00384849"/>
    <w:rsid w:val="00386B2A"/>
    <w:rsid w:val="00396674"/>
    <w:rsid w:val="003B26B6"/>
    <w:rsid w:val="003B6314"/>
    <w:rsid w:val="003F1571"/>
    <w:rsid w:val="00414C74"/>
    <w:rsid w:val="00422659"/>
    <w:rsid w:val="004303FD"/>
    <w:rsid w:val="00435C06"/>
    <w:rsid w:val="00453542"/>
    <w:rsid w:val="00453C62"/>
    <w:rsid w:val="00472BB4"/>
    <w:rsid w:val="00505D7B"/>
    <w:rsid w:val="00507F22"/>
    <w:rsid w:val="00510C38"/>
    <w:rsid w:val="00547AE4"/>
    <w:rsid w:val="00590C30"/>
    <w:rsid w:val="005A46CE"/>
    <w:rsid w:val="005B1682"/>
    <w:rsid w:val="00604D72"/>
    <w:rsid w:val="006449ED"/>
    <w:rsid w:val="006453D5"/>
    <w:rsid w:val="0066566B"/>
    <w:rsid w:val="00666E90"/>
    <w:rsid w:val="0067339A"/>
    <w:rsid w:val="00686F2C"/>
    <w:rsid w:val="006A2681"/>
    <w:rsid w:val="006A3595"/>
    <w:rsid w:val="006B275C"/>
    <w:rsid w:val="006B502D"/>
    <w:rsid w:val="006B7310"/>
    <w:rsid w:val="006E3532"/>
    <w:rsid w:val="006E6A8C"/>
    <w:rsid w:val="006F1364"/>
    <w:rsid w:val="00702908"/>
    <w:rsid w:val="007134DC"/>
    <w:rsid w:val="00717280"/>
    <w:rsid w:val="007271BF"/>
    <w:rsid w:val="0073653F"/>
    <w:rsid w:val="00744C91"/>
    <w:rsid w:val="00753BBA"/>
    <w:rsid w:val="00753EEF"/>
    <w:rsid w:val="0075524D"/>
    <w:rsid w:val="00770467"/>
    <w:rsid w:val="00775F66"/>
    <w:rsid w:val="007760DF"/>
    <w:rsid w:val="007933A7"/>
    <w:rsid w:val="007A3DFF"/>
    <w:rsid w:val="007A3F54"/>
    <w:rsid w:val="007A4BC4"/>
    <w:rsid w:val="007D4495"/>
    <w:rsid w:val="007E2CE1"/>
    <w:rsid w:val="007F6D8F"/>
    <w:rsid w:val="008121DD"/>
    <w:rsid w:val="00834A2F"/>
    <w:rsid w:val="00840FD4"/>
    <w:rsid w:val="008511A2"/>
    <w:rsid w:val="00871902"/>
    <w:rsid w:val="008A7CBF"/>
    <w:rsid w:val="008D1E56"/>
    <w:rsid w:val="008F20C8"/>
    <w:rsid w:val="00907117"/>
    <w:rsid w:val="00921ECF"/>
    <w:rsid w:val="0092665E"/>
    <w:rsid w:val="00935B8A"/>
    <w:rsid w:val="009406D8"/>
    <w:rsid w:val="00964243"/>
    <w:rsid w:val="00990FCD"/>
    <w:rsid w:val="00993AA8"/>
    <w:rsid w:val="009A47A0"/>
    <w:rsid w:val="00A05041"/>
    <w:rsid w:val="00A15E24"/>
    <w:rsid w:val="00A33175"/>
    <w:rsid w:val="00A36606"/>
    <w:rsid w:val="00A37675"/>
    <w:rsid w:val="00A37F5D"/>
    <w:rsid w:val="00A47D8A"/>
    <w:rsid w:val="00AA73A4"/>
    <w:rsid w:val="00AB3287"/>
    <w:rsid w:val="00AB6303"/>
    <w:rsid w:val="00AD4767"/>
    <w:rsid w:val="00AE67DD"/>
    <w:rsid w:val="00AF10ED"/>
    <w:rsid w:val="00B20CCA"/>
    <w:rsid w:val="00B219B9"/>
    <w:rsid w:val="00B24C77"/>
    <w:rsid w:val="00B3196C"/>
    <w:rsid w:val="00B505CB"/>
    <w:rsid w:val="00B53544"/>
    <w:rsid w:val="00B747F5"/>
    <w:rsid w:val="00B8130F"/>
    <w:rsid w:val="00B82FC0"/>
    <w:rsid w:val="00BD794A"/>
    <w:rsid w:val="00BF18C4"/>
    <w:rsid w:val="00C57E20"/>
    <w:rsid w:val="00C63A25"/>
    <w:rsid w:val="00C65559"/>
    <w:rsid w:val="00C66D96"/>
    <w:rsid w:val="00C71856"/>
    <w:rsid w:val="00C71ADC"/>
    <w:rsid w:val="00C80B51"/>
    <w:rsid w:val="00C8508E"/>
    <w:rsid w:val="00C870DC"/>
    <w:rsid w:val="00C95105"/>
    <w:rsid w:val="00CA4A47"/>
    <w:rsid w:val="00CA5AD9"/>
    <w:rsid w:val="00CB6E07"/>
    <w:rsid w:val="00CC06EB"/>
    <w:rsid w:val="00CD2873"/>
    <w:rsid w:val="00CE039D"/>
    <w:rsid w:val="00CF3D2B"/>
    <w:rsid w:val="00D06245"/>
    <w:rsid w:val="00D14FA4"/>
    <w:rsid w:val="00D16A68"/>
    <w:rsid w:val="00D42B74"/>
    <w:rsid w:val="00D75268"/>
    <w:rsid w:val="00D80595"/>
    <w:rsid w:val="00D842F5"/>
    <w:rsid w:val="00DB6983"/>
    <w:rsid w:val="00DC78DF"/>
    <w:rsid w:val="00DE65F7"/>
    <w:rsid w:val="00DF3F5D"/>
    <w:rsid w:val="00E336EB"/>
    <w:rsid w:val="00E417C5"/>
    <w:rsid w:val="00E57A0E"/>
    <w:rsid w:val="00E66A38"/>
    <w:rsid w:val="00E730E1"/>
    <w:rsid w:val="00E962FA"/>
    <w:rsid w:val="00EA0C13"/>
    <w:rsid w:val="00EC416B"/>
    <w:rsid w:val="00EF7EA9"/>
    <w:rsid w:val="00F01778"/>
    <w:rsid w:val="00F06A6B"/>
    <w:rsid w:val="00F37506"/>
    <w:rsid w:val="00F67E29"/>
    <w:rsid w:val="00F77B8A"/>
    <w:rsid w:val="00F81DE2"/>
    <w:rsid w:val="00FA79C7"/>
    <w:rsid w:val="00FB3D11"/>
    <w:rsid w:val="00FB6E44"/>
    <w:rsid w:val="00FB7B1F"/>
    <w:rsid w:val="00FD2D77"/>
    <w:rsid w:val="00FD5404"/>
    <w:rsid w:val="00FF3B32"/>
    <w:rsid w:val="19BF0C27"/>
    <w:rsid w:val="33DE6714"/>
    <w:rsid w:val="3D9F9049"/>
    <w:rsid w:val="3DED1DB6"/>
    <w:rsid w:val="4FDF09DF"/>
    <w:rsid w:val="563FAAC7"/>
    <w:rsid w:val="576F4502"/>
    <w:rsid w:val="5B960FE8"/>
    <w:rsid w:val="5FFFB21E"/>
    <w:rsid w:val="6A3F11B1"/>
    <w:rsid w:val="6DDB96B9"/>
    <w:rsid w:val="6EFF3D05"/>
    <w:rsid w:val="6F36802E"/>
    <w:rsid w:val="6FAFBD2D"/>
    <w:rsid w:val="77FD2982"/>
    <w:rsid w:val="7AFF9148"/>
    <w:rsid w:val="7D5BC8C5"/>
    <w:rsid w:val="7D7D4A9D"/>
    <w:rsid w:val="7D7D6A7F"/>
    <w:rsid w:val="7DDB1581"/>
    <w:rsid w:val="7DF586D2"/>
    <w:rsid w:val="7E4F4124"/>
    <w:rsid w:val="7EF771F7"/>
    <w:rsid w:val="7F1F7D0B"/>
    <w:rsid w:val="7FCFAC15"/>
    <w:rsid w:val="7FEE1FD5"/>
    <w:rsid w:val="7FEF847E"/>
    <w:rsid w:val="7FEF8EFF"/>
    <w:rsid w:val="9EDE1FA5"/>
    <w:rsid w:val="A5F5D827"/>
    <w:rsid w:val="B1E9543D"/>
    <w:rsid w:val="B9F2406A"/>
    <w:rsid w:val="D3BBA23D"/>
    <w:rsid w:val="EEEF93FE"/>
    <w:rsid w:val="F7EE716A"/>
    <w:rsid w:val="FEEFE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Char Char1 Char Char Char Char Char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1">
    <w:name w:val="Char Char Char Char Char Char Char Char Char3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
    <w:name w:val="Char Char Char Char"/>
    <w:basedOn w:val="1"/>
    <w:qFormat/>
    <w:uiPriority w:val="0"/>
    <w:pPr>
      <w:widowControl/>
      <w:spacing w:after="160" w:line="240" w:lineRule="exact"/>
      <w:jc w:val="left"/>
    </w:pPr>
    <w:rPr>
      <w:rFonts w:ascii="Verdana" w:hAnsi="Verdana" w:eastAsia="宋体"/>
      <w:kern w:val="0"/>
      <w:sz w:val="24"/>
      <w:szCs w:val="20"/>
      <w:lang w:eastAsia="en-US"/>
    </w:rPr>
  </w:style>
  <w:style w:type="character" w:customStyle="1" w:styleId="13">
    <w:name w:val="font41"/>
    <w:basedOn w:val="7"/>
    <w:qFormat/>
    <w:uiPriority w:val="0"/>
    <w:rPr>
      <w:rFonts w:hint="eastAsia" w:ascii="黑体" w:hAnsi="Verdana" w:eastAsia="黑体" w:cs="黑体"/>
      <w:color w:val="000000"/>
      <w:kern w:val="0"/>
      <w:sz w:val="32"/>
      <w:szCs w:val="32"/>
      <w:u w:val="none"/>
      <w:lang w:eastAsia="en-US"/>
    </w:rPr>
  </w:style>
  <w:style w:type="character" w:customStyle="1" w:styleId="14">
    <w:name w:val="font31"/>
    <w:basedOn w:val="7"/>
    <w:qFormat/>
    <w:uiPriority w:val="0"/>
    <w:rPr>
      <w:rFonts w:hint="eastAsia" w:ascii="仿宋_GB2312" w:hAnsi="Verdana" w:eastAsia="仿宋_GB2312" w:cs="仿宋_GB2312"/>
      <w:color w:val="000000"/>
      <w:kern w:val="0"/>
      <w:sz w:val="24"/>
      <w:szCs w:val="24"/>
      <w:u w:val="none"/>
      <w:lang w:eastAsia="en-US"/>
    </w:rPr>
  </w:style>
  <w:style w:type="character" w:customStyle="1" w:styleId="15">
    <w:name w:val="font81"/>
    <w:basedOn w:val="7"/>
    <w:qFormat/>
    <w:uiPriority w:val="0"/>
    <w:rPr>
      <w:rFonts w:hint="eastAsia" w:ascii="黑体" w:hAnsi="Verdana" w:eastAsia="黑体" w:cs="黑体"/>
      <w:color w:val="FF0000"/>
      <w:kern w:val="0"/>
      <w:sz w:val="32"/>
      <w:szCs w:val="32"/>
      <w:u w:val="none"/>
      <w:lang w:eastAsia="en-US"/>
    </w:rPr>
  </w:style>
  <w:style w:type="character" w:customStyle="1" w:styleId="16">
    <w:name w:val="font11"/>
    <w:basedOn w:val="7"/>
    <w:qFormat/>
    <w:uiPriority w:val="0"/>
    <w:rPr>
      <w:rFonts w:hint="eastAsia" w:ascii="仿宋_GB2312" w:hAnsi="Verdana" w:eastAsia="仿宋_GB2312" w:cs="仿宋_GB2312"/>
      <w:color w:val="FF0000"/>
      <w:kern w:val="0"/>
      <w:sz w:val="24"/>
      <w:szCs w:val="24"/>
      <w:u w:val="none"/>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221</Words>
  <Characters>1262</Characters>
  <Lines>10</Lines>
  <Paragraphs>2</Paragraphs>
  <TotalTime>1</TotalTime>
  <ScaleCrop>false</ScaleCrop>
  <LinksUpToDate>false</LinksUpToDate>
  <CharactersWithSpaces>1481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2020-04-21T23:16:00Z</dcterms:created>
  <dc:creator>张强</dc:creator>
  <cp:lastModifiedBy> </cp:lastModifiedBy>
  <cp:lastPrinted>2020-11-17T22:36:00Z</cp:lastPrinted>
  <dcterms:modified xsi:type="dcterms:W3CDTF">2022-01-11T10:23:08Z</dcterms:modified>
  <dc:title>北京市粮食局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