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2ACA" w14:textId="77777777" w:rsidR="00075BFC"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北京市粮食领域不予行政处罚事项清单(征求意见稿）</w:t>
      </w:r>
    </w:p>
    <w:tbl>
      <w:tblPr>
        <w:tblStyle w:val="a7"/>
        <w:tblW w:w="14364" w:type="dxa"/>
        <w:tblLayout w:type="fixed"/>
        <w:tblLook w:val="04A0" w:firstRow="1" w:lastRow="0" w:firstColumn="1" w:lastColumn="0" w:noHBand="0" w:noVBand="1"/>
      </w:tblPr>
      <w:tblGrid>
        <w:gridCol w:w="442"/>
        <w:gridCol w:w="1307"/>
        <w:gridCol w:w="1607"/>
        <w:gridCol w:w="11"/>
        <w:gridCol w:w="4192"/>
        <w:gridCol w:w="3810"/>
        <w:gridCol w:w="2106"/>
        <w:gridCol w:w="889"/>
      </w:tblGrid>
      <w:tr w:rsidR="00075BFC" w14:paraId="762A1E2F" w14:textId="77777777">
        <w:trPr>
          <w:trHeight w:val="307"/>
          <w:tblHeader/>
        </w:trPr>
        <w:tc>
          <w:tcPr>
            <w:tcW w:w="442" w:type="dxa"/>
            <w:vMerge w:val="restart"/>
            <w:vAlign w:val="center"/>
          </w:tcPr>
          <w:p w14:paraId="262546D9"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序号</w:t>
            </w:r>
          </w:p>
        </w:tc>
        <w:tc>
          <w:tcPr>
            <w:tcW w:w="1307" w:type="dxa"/>
            <w:vMerge w:val="restart"/>
            <w:vAlign w:val="center"/>
          </w:tcPr>
          <w:p w14:paraId="7F1BC6E6"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裁量基准编码</w:t>
            </w:r>
          </w:p>
        </w:tc>
        <w:tc>
          <w:tcPr>
            <w:tcW w:w="1618" w:type="dxa"/>
            <w:gridSpan w:val="2"/>
            <w:vMerge w:val="restart"/>
            <w:vAlign w:val="center"/>
          </w:tcPr>
          <w:p w14:paraId="67AA5E1D"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违法行为</w:t>
            </w:r>
          </w:p>
          <w:p w14:paraId="0DE9626B"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名称</w:t>
            </w:r>
          </w:p>
        </w:tc>
        <w:tc>
          <w:tcPr>
            <w:tcW w:w="4192" w:type="dxa"/>
            <w:vMerge w:val="restart"/>
            <w:vAlign w:val="center"/>
          </w:tcPr>
          <w:p w14:paraId="4D715B37"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处罚依据</w:t>
            </w:r>
          </w:p>
        </w:tc>
        <w:tc>
          <w:tcPr>
            <w:tcW w:w="3810" w:type="dxa"/>
          </w:tcPr>
          <w:p w14:paraId="10C53D9A"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适用条件</w:t>
            </w:r>
          </w:p>
        </w:tc>
        <w:tc>
          <w:tcPr>
            <w:tcW w:w="2106" w:type="dxa"/>
            <w:vMerge w:val="restart"/>
            <w:vAlign w:val="center"/>
          </w:tcPr>
          <w:p w14:paraId="79D8F0A5"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管理措施</w:t>
            </w:r>
          </w:p>
        </w:tc>
        <w:tc>
          <w:tcPr>
            <w:tcW w:w="889" w:type="dxa"/>
            <w:vMerge w:val="restart"/>
            <w:vAlign w:val="center"/>
          </w:tcPr>
          <w:p w14:paraId="1294D085"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行使</w:t>
            </w:r>
          </w:p>
          <w:p w14:paraId="72104B6A"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层级</w:t>
            </w:r>
          </w:p>
        </w:tc>
      </w:tr>
      <w:tr w:rsidR="00075BFC" w14:paraId="5BBBFD1F" w14:textId="77777777">
        <w:trPr>
          <w:trHeight w:val="307"/>
          <w:tblHeader/>
        </w:trPr>
        <w:tc>
          <w:tcPr>
            <w:tcW w:w="442" w:type="dxa"/>
            <w:vMerge/>
          </w:tcPr>
          <w:p w14:paraId="48D4FADE" w14:textId="77777777" w:rsidR="00075BFC" w:rsidRDefault="00075BFC">
            <w:pPr>
              <w:jc w:val="center"/>
            </w:pPr>
          </w:p>
        </w:tc>
        <w:tc>
          <w:tcPr>
            <w:tcW w:w="1307" w:type="dxa"/>
            <w:vMerge/>
          </w:tcPr>
          <w:p w14:paraId="2DA8F1FD" w14:textId="77777777" w:rsidR="00075BFC" w:rsidRDefault="00075BFC">
            <w:pPr>
              <w:jc w:val="center"/>
            </w:pPr>
          </w:p>
        </w:tc>
        <w:tc>
          <w:tcPr>
            <w:tcW w:w="1618" w:type="dxa"/>
            <w:gridSpan w:val="2"/>
            <w:vMerge/>
          </w:tcPr>
          <w:p w14:paraId="45583A7F" w14:textId="77777777" w:rsidR="00075BFC" w:rsidRDefault="00075BFC">
            <w:pPr>
              <w:jc w:val="center"/>
            </w:pPr>
          </w:p>
        </w:tc>
        <w:tc>
          <w:tcPr>
            <w:tcW w:w="4192" w:type="dxa"/>
            <w:vMerge/>
          </w:tcPr>
          <w:p w14:paraId="64C8EDD4" w14:textId="77777777" w:rsidR="00075BFC" w:rsidRDefault="00075BFC">
            <w:pPr>
              <w:jc w:val="center"/>
            </w:pPr>
          </w:p>
        </w:tc>
        <w:tc>
          <w:tcPr>
            <w:tcW w:w="3810" w:type="dxa"/>
          </w:tcPr>
          <w:p w14:paraId="0B58DA1A"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违法行为轻微并及时改正，</w:t>
            </w:r>
          </w:p>
          <w:p w14:paraId="6AB3C320"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没有造成危害后果</w:t>
            </w:r>
          </w:p>
        </w:tc>
        <w:tc>
          <w:tcPr>
            <w:tcW w:w="2106" w:type="dxa"/>
            <w:vMerge/>
          </w:tcPr>
          <w:p w14:paraId="0D519EDC" w14:textId="77777777" w:rsidR="00075BFC" w:rsidRDefault="00075BFC">
            <w:pPr>
              <w:jc w:val="center"/>
              <w:rPr>
                <w:rFonts w:ascii="方正黑体_GBK" w:eastAsia="方正黑体_GBK" w:hAnsi="方正黑体_GBK" w:cs="方正黑体_GBK" w:hint="eastAsia"/>
                <w:kern w:val="0"/>
                <w:sz w:val="24"/>
              </w:rPr>
            </w:pPr>
          </w:p>
        </w:tc>
        <w:tc>
          <w:tcPr>
            <w:tcW w:w="889" w:type="dxa"/>
            <w:vMerge/>
          </w:tcPr>
          <w:p w14:paraId="0F48178C" w14:textId="77777777" w:rsidR="00075BFC" w:rsidRDefault="00075BFC">
            <w:pPr>
              <w:jc w:val="center"/>
              <w:rPr>
                <w:rFonts w:ascii="方正黑体_GBK" w:eastAsia="方正黑体_GBK" w:hAnsi="方正黑体_GBK" w:cs="方正黑体_GBK" w:hint="eastAsia"/>
                <w:kern w:val="0"/>
                <w:sz w:val="24"/>
              </w:rPr>
            </w:pPr>
          </w:p>
        </w:tc>
      </w:tr>
      <w:tr w:rsidR="00075BFC" w14:paraId="0C95E3CD" w14:textId="77777777">
        <w:tc>
          <w:tcPr>
            <w:tcW w:w="442" w:type="dxa"/>
            <w:vAlign w:val="center"/>
          </w:tcPr>
          <w:p w14:paraId="55EA6EFE"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1307" w:type="dxa"/>
            <w:vAlign w:val="center"/>
          </w:tcPr>
          <w:p w14:paraId="1DB0F339" w14:textId="77777777" w:rsidR="00075BFC" w:rsidRDefault="00000000">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C2600800</w:t>
            </w:r>
          </w:p>
          <w:p w14:paraId="286F893B" w14:textId="77777777" w:rsidR="00075BFC" w:rsidRDefault="00000000">
            <w:pPr>
              <w:jc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kern w:val="0"/>
                <w:sz w:val="24"/>
              </w:rPr>
              <w:t>B010</w:t>
            </w:r>
          </w:p>
        </w:tc>
        <w:tc>
          <w:tcPr>
            <w:tcW w:w="1618" w:type="dxa"/>
            <w:gridSpan w:val="2"/>
            <w:vAlign w:val="center"/>
          </w:tcPr>
          <w:p w14:paraId="59F066C3" w14:textId="77777777" w:rsidR="00075BFC" w:rsidRDefault="00000000">
            <w:pP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从事粮食收购、销售、储存、加工的粮食经营者以及饲料、工业用粮企业未建立粮食经营台账的行为。</w:t>
            </w:r>
          </w:p>
        </w:tc>
        <w:tc>
          <w:tcPr>
            <w:tcW w:w="4192" w:type="dxa"/>
          </w:tcPr>
          <w:p w14:paraId="76A327DE"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《粮食流通管理条例》第四十五条第（五）项 有下列情形之一的，由粮食和储备行政管理部门责令改正，给予警告，可以并处20万元以下罚款；情节严重的，并处20万元以上50万元以下罚款：</w:t>
            </w:r>
          </w:p>
          <w:p w14:paraId="6C3D7877" w14:textId="77777777" w:rsidR="00075BFC" w:rsidRDefault="00000000">
            <w:pPr>
              <w:numPr>
                <w:ilvl w:val="0"/>
                <w:numId w:val="1"/>
              </w:numPr>
            </w:pPr>
            <w:r>
              <w:rPr>
                <w:rFonts w:ascii="仿宋_GB2312" w:eastAsia="仿宋_GB2312" w:hAnsi="仿宋_GB2312" w:cs="仿宋_GB2312" w:hint="eastAsia"/>
                <w:sz w:val="24"/>
              </w:rPr>
              <w:t>从事粮食收购、销售、储存、加工的粮食经营者以及饲料、工业用粮企业未建立粮食经营台账，或者未按照规</w:t>
            </w:r>
            <w:r>
              <w:rPr>
                <w:rFonts w:ascii="仿宋_GB2312" w:eastAsia="仿宋_GB2312" w:hAnsi="仿宋_GB2312" w:cs="仿宋_GB2312" w:hint="eastAsia"/>
                <w:sz w:val="24"/>
              </w:rPr>
              <w:lastRenderedPageBreak/>
              <w:t>定报送粮食基本数据和有关情况；</w:t>
            </w:r>
          </w:p>
        </w:tc>
        <w:tc>
          <w:tcPr>
            <w:tcW w:w="3810" w:type="dxa"/>
          </w:tcPr>
          <w:p w14:paraId="0D436126"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同时满足以下条件的：</w:t>
            </w:r>
          </w:p>
          <w:p w14:paraId="6CF2A247"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（1）</w:t>
            </w:r>
            <w:r>
              <w:rPr>
                <w:rFonts w:ascii="仿宋_GB2312" w:eastAsia="仿宋_GB2312" w:hAnsi="仿宋_GB2312" w:cs="仿宋_GB2312" w:hint="eastAsia"/>
                <w:color w:val="000000"/>
                <w:kern w:val="0"/>
                <w:sz w:val="24"/>
                <w:lang w:bidi="ar"/>
              </w:rPr>
              <w:t>从事粮食收购、销售、储存、加工的粮食经营者以及饲料、工业用粮企业未建立粮食经营台账的</w:t>
            </w:r>
            <w:r>
              <w:rPr>
                <w:rFonts w:ascii="仿宋_GB2312" w:eastAsia="仿宋_GB2312" w:hAnsi="仿宋_GB2312" w:cs="仿宋_GB2312" w:hint="eastAsia"/>
                <w:sz w:val="24"/>
              </w:rPr>
              <w:t>；</w:t>
            </w:r>
          </w:p>
          <w:p w14:paraId="334875D4"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（2）主动整改或在行政机关责令改正的期限内改正；</w:t>
            </w:r>
          </w:p>
          <w:p w14:paraId="7DDD1F8D"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（3）没有造成危害后果。</w:t>
            </w:r>
          </w:p>
          <w:p w14:paraId="271066C0" w14:textId="77777777" w:rsidR="00075BFC" w:rsidRDefault="00075BFC">
            <w:pPr>
              <w:rPr>
                <w:rFonts w:ascii="仿宋_GB2312" w:eastAsia="仿宋_GB2312" w:hAnsi="仿宋_GB2312" w:cs="仿宋_GB2312" w:hint="eastAsia"/>
                <w:sz w:val="24"/>
              </w:rPr>
            </w:pPr>
          </w:p>
        </w:tc>
        <w:tc>
          <w:tcPr>
            <w:tcW w:w="2106" w:type="dxa"/>
          </w:tcPr>
          <w:p w14:paraId="3B429769"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对当事人的违法行为依法不予行政处罚的，行政机关应当对当事人进行教育、指导，责令当事人立即或限期改正违法行为，签订《承诺书》，并及时复查</w:t>
            </w:r>
            <w:r>
              <w:rPr>
                <w:rFonts w:ascii="仿宋_GB2312" w:eastAsia="仿宋_GB2312" w:hAnsi="仿宋_GB2312" w:cs="仿宋_GB2312" w:hint="eastAsia"/>
                <w:sz w:val="24"/>
              </w:rPr>
              <w:lastRenderedPageBreak/>
              <w:t>整改情况。</w:t>
            </w:r>
          </w:p>
        </w:tc>
        <w:tc>
          <w:tcPr>
            <w:tcW w:w="889" w:type="dxa"/>
            <w:vAlign w:val="center"/>
          </w:tcPr>
          <w:p w14:paraId="04B771D0"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市级、区级</w:t>
            </w:r>
          </w:p>
        </w:tc>
      </w:tr>
      <w:tr w:rsidR="00075BFC" w14:paraId="7B24BEB0" w14:textId="77777777">
        <w:trPr>
          <w:trHeight w:val="3186"/>
        </w:trPr>
        <w:tc>
          <w:tcPr>
            <w:tcW w:w="442" w:type="dxa"/>
            <w:vAlign w:val="center"/>
          </w:tcPr>
          <w:p w14:paraId="6D50DB87"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1307" w:type="dxa"/>
            <w:vAlign w:val="center"/>
          </w:tcPr>
          <w:p w14:paraId="5202C2C0" w14:textId="77777777" w:rsidR="00075BFC" w:rsidRDefault="00000000">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C2602500</w:t>
            </w:r>
          </w:p>
          <w:p w14:paraId="4EF63191" w14:textId="77777777" w:rsidR="00075BFC" w:rsidRDefault="00000000">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B010</w:t>
            </w:r>
          </w:p>
        </w:tc>
        <w:tc>
          <w:tcPr>
            <w:tcW w:w="1618" w:type="dxa"/>
            <w:gridSpan w:val="2"/>
            <w:vAlign w:val="center"/>
          </w:tcPr>
          <w:p w14:paraId="55D85E24" w14:textId="1262B97E" w:rsidR="00075BFC" w:rsidRDefault="00000000">
            <w:pP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sz w:val="24"/>
              </w:rPr>
              <w:t>库存粮油情况发生变化的，粮油仓储单位未在5个工作日内更新库存粮油货位卡和有关</w:t>
            </w:r>
            <w:r w:rsidR="00755886">
              <w:rPr>
                <w:rFonts w:ascii="仿宋_GB2312" w:eastAsia="仿宋_GB2312" w:hAnsi="仿宋_GB2312" w:cs="仿宋_GB2312" w:hint="eastAsia"/>
                <w:sz w:val="24"/>
              </w:rPr>
              <w:t>账目</w:t>
            </w:r>
            <w:r>
              <w:rPr>
                <w:rFonts w:ascii="仿宋_GB2312" w:eastAsia="仿宋_GB2312" w:hAnsi="仿宋_GB2312" w:cs="仿宋_GB2312" w:hint="eastAsia"/>
                <w:sz w:val="24"/>
              </w:rPr>
              <w:t>，确保账</w:t>
            </w:r>
            <w:proofErr w:type="gramStart"/>
            <w:r>
              <w:rPr>
                <w:rFonts w:ascii="仿宋_GB2312" w:eastAsia="仿宋_GB2312" w:hAnsi="仿宋_GB2312" w:cs="仿宋_GB2312" w:hint="eastAsia"/>
                <w:sz w:val="24"/>
              </w:rPr>
              <w:t>账</w:t>
            </w:r>
            <w:proofErr w:type="gramEnd"/>
            <w:r>
              <w:rPr>
                <w:rFonts w:ascii="仿宋_GB2312" w:eastAsia="仿宋_GB2312" w:hAnsi="仿宋_GB2312" w:cs="仿宋_GB2312" w:hint="eastAsia"/>
                <w:sz w:val="24"/>
              </w:rPr>
              <w:t>相符、账实相符的行</w:t>
            </w:r>
            <w:r>
              <w:rPr>
                <w:rFonts w:ascii="仿宋_GB2312" w:eastAsia="仿宋_GB2312" w:hAnsi="仿宋_GB2312" w:cs="仿宋_GB2312" w:hint="eastAsia"/>
                <w:sz w:val="24"/>
              </w:rPr>
              <w:lastRenderedPageBreak/>
              <w:t>为。</w:t>
            </w:r>
          </w:p>
        </w:tc>
        <w:tc>
          <w:tcPr>
            <w:tcW w:w="4192" w:type="dxa"/>
          </w:tcPr>
          <w:p w14:paraId="68A07C71"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《粮油仓储管理办法》第三十一条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3810" w:type="dxa"/>
          </w:tcPr>
          <w:p w14:paraId="6FD2F46F"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同时满足以下条件的：</w:t>
            </w:r>
          </w:p>
          <w:p w14:paraId="0AF82A0F" w14:textId="469E2100"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（1）库存粮油情况发生变化的，粮油仓储单位未在5个工作日内更新库存粮油货位卡和有关</w:t>
            </w:r>
            <w:r w:rsidR="00755886">
              <w:rPr>
                <w:rFonts w:ascii="仿宋_GB2312" w:eastAsia="仿宋_GB2312" w:hAnsi="仿宋_GB2312" w:cs="仿宋_GB2312" w:hint="eastAsia"/>
                <w:sz w:val="24"/>
              </w:rPr>
              <w:t>账目</w:t>
            </w:r>
            <w:r>
              <w:rPr>
                <w:rFonts w:ascii="仿宋_GB2312" w:eastAsia="仿宋_GB2312" w:hAnsi="仿宋_GB2312" w:cs="仿宋_GB2312" w:hint="eastAsia"/>
                <w:sz w:val="24"/>
              </w:rPr>
              <w:t>，确保账</w:t>
            </w:r>
            <w:proofErr w:type="gramStart"/>
            <w:r>
              <w:rPr>
                <w:rFonts w:ascii="仿宋_GB2312" w:eastAsia="仿宋_GB2312" w:hAnsi="仿宋_GB2312" w:cs="仿宋_GB2312" w:hint="eastAsia"/>
                <w:sz w:val="24"/>
              </w:rPr>
              <w:t>账</w:t>
            </w:r>
            <w:proofErr w:type="gramEnd"/>
            <w:r>
              <w:rPr>
                <w:rFonts w:ascii="仿宋_GB2312" w:eastAsia="仿宋_GB2312" w:hAnsi="仿宋_GB2312" w:cs="仿宋_GB2312" w:hint="eastAsia"/>
                <w:sz w:val="24"/>
              </w:rPr>
              <w:t>相符、账实相符的；</w:t>
            </w:r>
          </w:p>
          <w:p w14:paraId="6D722BEE"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（2）主动整改或在行政机关责令改正的期限内改正；</w:t>
            </w:r>
          </w:p>
          <w:p w14:paraId="500C494A"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（3）没有造成危害后果。</w:t>
            </w:r>
          </w:p>
        </w:tc>
        <w:tc>
          <w:tcPr>
            <w:tcW w:w="2106" w:type="dxa"/>
          </w:tcPr>
          <w:p w14:paraId="0264713B" w14:textId="77777777" w:rsidR="00075BFC" w:rsidRDefault="00000000">
            <w:r>
              <w:rPr>
                <w:rFonts w:ascii="仿宋_GB2312" w:eastAsia="仿宋_GB2312" w:hAnsi="仿宋_GB2312" w:cs="仿宋_GB2312" w:hint="eastAsia"/>
                <w:sz w:val="24"/>
              </w:rPr>
              <w:t>对当事人的违法行为依法不予行政处罚的，行政机关应当对当事人进行教育、指导，责令当事人立即或限期改正违法行为，签订《承诺书》，并及时复查</w:t>
            </w:r>
            <w:r>
              <w:rPr>
                <w:rFonts w:ascii="仿宋_GB2312" w:eastAsia="仿宋_GB2312" w:hAnsi="仿宋_GB2312" w:cs="仿宋_GB2312" w:hint="eastAsia"/>
                <w:sz w:val="24"/>
              </w:rPr>
              <w:lastRenderedPageBreak/>
              <w:t>整改情况。</w:t>
            </w:r>
          </w:p>
        </w:tc>
        <w:tc>
          <w:tcPr>
            <w:tcW w:w="889" w:type="dxa"/>
            <w:vAlign w:val="center"/>
          </w:tcPr>
          <w:p w14:paraId="625893A3"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市级、区级</w:t>
            </w:r>
          </w:p>
        </w:tc>
      </w:tr>
      <w:tr w:rsidR="00075BFC" w14:paraId="21B043B1" w14:textId="77777777">
        <w:trPr>
          <w:trHeight w:val="307"/>
          <w:tblHeader/>
        </w:trPr>
        <w:tc>
          <w:tcPr>
            <w:tcW w:w="442" w:type="dxa"/>
            <w:vMerge w:val="restart"/>
            <w:vAlign w:val="center"/>
          </w:tcPr>
          <w:p w14:paraId="4BB45B0D"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序号</w:t>
            </w:r>
          </w:p>
        </w:tc>
        <w:tc>
          <w:tcPr>
            <w:tcW w:w="1307" w:type="dxa"/>
            <w:vMerge w:val="restart"/>
            <w:vAlign w:val="center"/>
          </w:tcPr>
          <w:p w14:paraId="6115D7F7"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裁量基准编码</w:t>
            </w:r>
          </w:p>
        </w:tc>
        <w:tc>
          <w:tcPr>
            <w:tcW w:w="1607" w:type="dxa"/>
            <w:vMerge w:val="restart"/>
            <w:vAlign w:val="center"/>
          </w:tcPr>
          <w:p w14:paraId="1E0AFB32"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违法行为</w:t>
            </w:r>
          </w:p>
          <w:p w14:paraId="26536630"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名称</w:t>
            </w:r>
          </w:p>
        </w:tc>
        <w:tc>
          <w:tcPr>
            <w:tcW w:w="4203" w:type="dxa"/>
            <w:gridSpan w:val="2"/>
            <w:vMerge w:val="restart"/>
            <w:vAlign w:val="center"/>
          </w:tcPr>
          <w:p w14:paraId="6883FBAD"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处罚依据</w:t>
            </w:r>
          </w:p>
        </w:tc>
        <w:tc>
          <w:tcPr>
            <w:tcW w:w="3810" w:type="dxa"/>
          </w:tcPr>
          <w:p w14:paraId="2A5B1D8D"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适用条件</w:t>
            </w:r>
          </w:p>
        </w:tc>
        <w:tc>
          <w:tcPr>
            <w:tcW w:w="2106" w:type="dxa"/>
            <w:vMerge w:val="restart"/>
            <w:vAlign w:val="center"/>
          </w:tcPr>
          <w:p w14:paraId="04896DD0"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管理措施</w:t>
            </w:r>
          </w:p>
        </w:tc>
        <w:tc>
          <w:tcPr>
            <w:tcW w:w="889" w:type="dxa"/>
            <w:vMerge w:val="restart"/>
            <w:vAlign w:val="center"/>
          </w:tcPr>
          <w:p w14:paraId="274671E5"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行使</w:t>
            </w:r>
          </w:p>
          <w:p w14:paraId="548C33E9" w14:textId="77777777" w:rsidR="00075BFC" w:rsidRDefault="00000000">
            <w:pPr>
              <w:spacing w:line="300" w:lineRule="exact"/>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层级</w:t>
            </w:r>
          </w:p>
        </w:tc>
      </w:tr>
      <w:tr w:rsidR="00075BFC" w14:paraId="06B2DAEF" w14:textId="77777777">
        <w:trPr>
          <w:trHeight w:val="307"/>
          <w:tblHeader/>
        </w:trPr>
        <w:tc>
          <w:tcPr>
            <w:tcW w:w="442" w:type="dxa"/>
            <w:vMerge/>
          </w:tcPr>
          <w:p w14:paraId="0221B32C" w14:textId="77777777" w:rsidR="00075BFC" w:rsidRDefault="00075BFC">
            <w:pPr>
              <w:jc w:val="center"/>
            </w:pPr>
          </w:p>
        </w:tc>
        <w:tc>
          <w:tcPr>
            <w:tcW w:w="1307" w:type="dxa"/>
            <w:vMerge/>
          </w:tcPr>
          <w:p w14:paraId="61E3589A" w14:textId="77777777" w:rsidR="00075BFC" w:rsidRDefault="00075BFC">
            <w:pPr>
              <w:jc w:val="center"/>
            </w:pPr>
          </w:p>
        </w:tc>
        <w:tc>
          <w:tcPr>
            <w:tcW w:w="1607" w:type="dxa"/>
            <w:vMerge/>
          </w:tcPr>
          <w:p w14:paraId="69CAFFEF" w14:textId="77777777" w:rsidR="00075BFC" w:rsidRDefault="00075BFC">
            <w:pPr>
              <w:jc w:val="center"/>
            </w:pPr>
          </w:p>
        </w:tc>
        <w:tc>
          <w:tcPr>
            <w:tcW w:w="4203" w:type="dxa"/>
            <w:gridSpan w:val="2"/>
            <w:vMerge/>
          </w:tcPr>
          <w:p w14:paraId="2BC96B90" w14:textId="77777777" w:rsidR="00075BFC" w:rsidRDefault="00075BFC">
            <w:pPr>
              <w:jc w:val="center"/>
            </w:pPr>
          </w:p>
        </w:tc>
        <w:tc>
          <w:tcPr>
            <w:tcW w:w="3810" w:type="dxa"/>
          </w:tcPr>
          <w:p w14:paraId="693030D4"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初次违法且危害后果轻微</w:t>
            </w:r>
          </w:p>
          <w:p w14:paraId="78CE13B9" w14:textId="77777777" w:rsidR="00075BFC" w:rsidRDefault="00000000">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并及时改正</w:t>
            </w:r>
          </w:p>
        </w:tc>
        <w:tc>
          <w:tcPr>
            <w:tcW w:w="2106" w:type="dxa"/>
            <w:vMerge/>
          </w:tcPr>
          <w:p w14:paraId="14D790D4" w14:textId="77777777" w:rsidR="00075BFC" w:rsidRDefault="00075BFC">
            <w:pPr>
              <w:jc w:val="center"/>
              <w:rPr>
                <w:rFonts w:ascii="方正黑体_GBK" w:eastAsia="方正黑体_GBK" w:hAnsi="方正黑体_GBK" w:cs="方正黑体_GBK" w:hint="eastAsia"/>
                <w:kern w:val="0"/>
                <w:sz w:val="24"/>
              </w:rPr>
            </w:pPr>
          </w:p>
        </w:tc>
        <w:tc>
          <w:tcPr>
            <w:tcW w:w="889" w:type="dxa"/>
            <w:vMerge/>
          </w:tcPr>
          <w:p w14:paraId="2CDBC8CB" w14:textId="77777777" w:rsidR="00075BFC" w:rsidRDefault="00075BFC">
            <w:pPr>
              <w:jc w:val="center"/>
              <w:rPr>
                <w:rFonts w:ascii="方正黑体_GBK" w:eastAsia="方正黑体_GBK" w:hAnsi="方正黑体_GBK" w:cs="方正黑体_GBK" w:hint="eastAsia"/>
                <w:kern w:val="0"/>
                <w:sz w:val="24"/>
              </w:rPr>
            </w:pPr>
          </w:p>
        </w:tc>
      </w:tr>
      <w:tr w:rsidR="00075BFC" w14:paraId="6B7ED18C" w14:textId="77777777">
        <w:tc>
          <w:tcPr>
            <w:tcW w:w="442" w:type="dxa"/>
            <w:vAlign w:val="center"/>
          </w:tcPr>
          <w:p w14:paraId="1685A55E"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1307" w:type="dxa"/>
            <w:vAlign w:val="center"/>
          </w:tcPr>
          <w:p w14:paraId="2025D6E0" w14:textId="77777777" w:rsidR="00075BFC" w:rsidRDefault="00000000">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C2600800</w:t>
            </w:r>
          </w:p>
          <w:p w14:paraId="66B10D0A" w14:textId="77777777" w:rsidR="00075BFC" w:rsidRDefault="00000000">
            <w:pPr>
              <w:jc w:val="cente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kern w:val="0"/>
                <w:sz w:val="24"/>
              </w:rPr>
              <w:t>B010</w:t>
            </w:r>
          </w:p>
        </w:tc>
        <w:tc>
          <w:tcPr>
            <w:tcW w:w="1607" w:type="dxa"/>
            <w:vAlign w:val="center"/>
          </w:tcPr>
          <w:p w14:paraId="314E2548" w14:textId="77777777" w:rsidR="00075BFC" w:rsidRDefault="00000000">
            <w:pP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color w:val="000000"/>
                <w:kern w:val="0"/>
                <w:sz w:val="24"/>
                <w:lang w:bidi="ar"/>
              </w:rPr>
              <w:t>从事粮食收购、销售、储存、加工的粮食经营者以</w:t>
            </w:r>
            <w:r>
              <w:rPr>
                <w:rFonts w:ascii="仿宋_GB2312" w:eastAsia="仿宋_GB2312" w:hAnsi="仿宋_GB2312" w:cs="仿宋_GB2312" w:hint="eastAsia"/>
                <w:color w:val="000000"/>
                <w:kern w:val="0"/>
                <w:sz w:val="24"/>
                <w:lang w:bidi="ar"/>
              </w:rPr>
              <w:lastRenderedPageBreak/>
              <w:t>及饲料、工业用粮企业未建立粮食经营台账的行为。</w:t>
            </w:r>
          </w:p>
        </w:tc>
        <w:tc>
          <w:tcPr>
            <w:tcW w:w="4203" w:type="dxa"/>
            <w:gridSpan w:val="2"/>
          </w:tcPr>
          <w:p w14:paraId="1DF8FD2C"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《粮食流通管理条例》第四十五条第（五）项 有下列情形之一的，由粮食和储备行政管理部门责令改正，给予警告，可以并处20万元以下罚款；情节</w:t>
            </w:r>
            <w:r>
              <w:rPr>
                <w:rFonts w:ascii="仿宋_GB2312" w:eastAsia="仿宋_GB2312" w:hAnsi="仿宋_GB2312" w:cs="仿宋_GB2312" w:hint="eastAsia"/>
                <w:sz w:val="24"/>
              </w:rPr>
              <w:lastRenderedPageBreak/>
              <w:t>严重的，并处20万元以上50万元以下罚款：</w:t>
            </w:r>
          </w:p>
          <w:p w14:paraId="7415356E"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（五）从事粮食收购、销售、储存、加工的粮食经营者以及饲料、工业用粮企业未建立粮食经营台账，或者未按照规定报送粮食基本数据和有关情况；</w:t>
            </w:r>
          </w:p>
        </w:tc>
        <w:tc>
          <w:tcPr>
            <w:tcW w:w="3810" w:type="dxa"/>
          </w:tcPr>
          <w:p w14:paraId="6CAFC2DB"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同时满足以下条件的：</w:t>
            </w:r>
          </w:p>
          <w:p w14:paraId="2DD33C2D"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（1）无同一类违法行为的查处记录；</w:t>
            </w:r>
          </w:p>
          <w:p w14:paraId="1BB8647D"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（2）</w:t>
            </w:r>
            <w:r>
              <w:rPr>
                <w:rFonts w:ascii="仿宋_GB2312" w:eastAsia="仿宋_GB2312" w:hAnsi="仿宋_GB2312" w:cs="仿宋_GB2312" w:hint="eastAsia"/>
                <w:color w:val="000000"/>
                <w:kern w:val="0"/>
                <w:sz w:val="24"/>
                <w:lang w:bidi="ar"/>
              </w:rPr>
              <w:t>从事粮食收购、销售、储存、加工的粮食经营者以及饲料、工业用粮企业未建立粮食经营台账的</w:t>
            </w:r>
            <w:r>
              <w:rPr>
                <w:rFonts w:ascii="仿宋_GB2312" w:eastAsia="仿宋_GB2312" w:hAnsi="仿宋_GB2312" w:cs="仿宋_GB2312" w:hint="eastAsia"/>
                <w:sz w:val="24"/>
              </w:rPr>
              <w:t>；</w:t>
            </w:r>
          </w:p>
          <w:p w14:paraId="0BF3D698"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（3）主动整改或在行政机关责令改正的期限内改正；</w:t>
            </w:r>
          </w:p>
          <w:p w14:paraId="247C4E20"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（4）危害后果轻微，未引发不良社会影响。</w:t>
            </w:r>
          </w:p>
        </w:tc>
        <w:tc>
          <w:tcPr>
            <w:tcW w:w="2106" w:type="dxa"/>
          </w:tcPr>
          <w:p w14:paraId="4FCDF159"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对当事人的违法行为依法不予行政处罚的，行政机关应当对当事人</w:t>
            </w:r>
            <w:r>
              <w:rPr>
                <w:rFonts w:ascii="仿宋_GB2312" w:eastAsia="仿宋_GB2312" w:hAnsi="仿宋_GB2312" w:cs="仿宋_GB2312" w:hint="eastAsia"/>
                <w:sz w:val="24"/>
              </w:rPr>
              <w:lastRenderedPageBreak/>
              <w:t>进行教育、指导，责令当事人立即或限期改正违法行为，签订《承诺书》，并及时复查整改情况。</w:t>
            </w:r>
          </w:p>
        </w:tc>
        <w:tc>
          <w:tcPr>
            <w:tcW w:w="889" w:type="dxa"/>
            <w:vAlign w:val="center"/>
          </w:tcPr>
          <w:p w14:paraId="2AB0C75D"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市级、</w:t>
            </w:r>
          </w:p>
          <w:p w14:paraId="5ADD0111"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区级</w:t>
            </w:r>
          </w:p>
        </w:tc>
      </w:tr>
      <w:tr w:rsidR="00075BFC" w14:paraId="2D093F3E" w14:textId="77777777">
        <w:tc>
          <w:tcPr>
            <w:tcW w:w="442" w:type="dxa"/>
            <w:vAlign w:val="center"/>
          </w:tcPr>
          <w:p w14:paraId="7B39E908"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1307" w:type="dxa"/>
            <w:vAlign w:val="center"/>
          </w:tcPr>
          <w:p w14:paraId="77ADDDCD" w14:textId="77777777" w:rsidR="00075BFC" w:rsidRDefault="00000000">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C2602500</w:t>
            </w:r>
          </w:p>
          <w:p w14:paraId="6422F217" w14:textId="77777777" w:rsidR="00075BFC" w:rsidRDefault="00000000">
            <w:pPr>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B010</w:t>
            </w:r>
          </w:p>
        </w:tc>
        <w:tc>
          <w:tcPr>
            <w:tcW w:w="1607" w:type="dxa"/>
            <w:vAlign w:val="center"/>
          </w:tcPr>
          <w:p w14:paraId="2BAE367F" w14:textId="2F7890E6" w:rsidR="00075BFC" w:rsidRDefault="00000000">
            <w:pPr>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sz w:val="24"/>
              </w:rPr>
              <w:t>库存粮油情况发生变化的，粮油仓储</w:t>
            </w:r>
            <w:r>
              <w:rPr>
                <w:rFonts w:ascii="仿宋_GB2312" w:eastAsia="仿宋_GB2312" w:hAnsi="仿宋_GB2312" w:cs="仿宋_GB2312" w:hint="eastAsia"/>
                <w:sz w:val="24"/>
              </w:rPr>
              <w:lastRenderedPageBreak/>
              <w:t>单位未在5个工作日内更新库存粮油货位卡和有关</w:t>
            </w:r>
            <w:r w:rsidR="00755886">
              <w:rPr>
                <w:rFonts w:ascii="仿宋_GB2312" w:eastAsia="仿宋_GB2312" w:hAnsi="仿宋_GB2312" w:cs="仿宋_GB2312" w:hint="eastAsia"/>
                <w:sz w:val="24"/>
              </w:rPr>
              <w:t>账目</w:t>
            </w:r>
            <w:r>
              <w:rPr>
                <w:rFonts w:ascii="仿宋_GB2312" w:eastAsia="仿宋_GB2312" w:hAnsi="仿宋_GB2312" w:cs="仿宋_GB2312" w:hint="eastAsia"/>
                <w:sz w:val="24"/>
              </w:rPr>
              <w:t>，确保账</w:t>
            </w:r>
            <w:proofErr w:type="gramStart"/>
            <w:r>
              <w:rPr>
                <w:rFonts w:ascii="仿宋_GB2312" w:eastAsia="仿宋_GB2312" w:hAnsi="仿宋_GB2312" w:cs="仿宋_GB2312" w:hint="eastAsia"/>
                <w:sz w:val="24"/>
              </w:rPr>
              <w:t>账</w:t>
            </w:r>
            <w:proofErr w:type="gramEnd"/>
            <w:r>
              <w:rPr>
                <w:rFonts w:ascii="仿宋_GB2312" w:eastAsia="仿宋_GB2312" w:hAnsi="仿宋_GB2312" w:cs="仿宋_GB2312" w:hint="eastAsia"/>
                <w:sz w:val="24"/>
              </w:rPr>
              <w:t>相符、账实相符的行为。</w:t>
            </w:r>
          </w:p>
        </w:tc>
        <w:tc>
          <w:tcPr>
            <w:tcW w:w="4203" w:type="dxa"/>
            <w:gridSpan w:val="2"/>
          </w:tcPr>
          <w:p w14:paraId="556D6D51"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《粮油仓储管理办法》第三十一条 粮油仓储单位违反本办法有关粮油出入库、储存等管理规定的，由所在地粮食</w:t>
            </w:r>
            <w:r>
              <w:rPr>
                <w:rFonts w:ascii="仿宋_GB2312" w:eastAsia="仿宋_GB2312" w:hAnsi="仿宋_GB2312" w:cs="仿宋_GB2312" w:hint="eastAsia"/>
                <w:sz w:val="24"/>
              </w:rPr>
              <w:lastRenderedPageBreak/>
              <w:t>行政管理部门责令改正，给予警告；情节严重的，可以并处3万元以下罚款；造成粮油储存事故或者安全生产事故的，按照有关法律法规和国家有关规定给予处罚。</w:t>
            </w:r>
          </w:p>
        </w:tc>
        <w:tc>
          <w:tcPr>
            <w:tcW w:w="3810" w:type="dxa"/>
          </w:tcPr>
          <w:p w14:paraId="6207ABB1"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同时满足以下条件的：</w:t>
            </w:r>
          </w:p>
          <w:p w14:paraId="5B529B63"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（1）无同一类违法行为的查处记录；</w:t>
            </w:r>
          </w:p>
          <w:p w14:paraId="0B2008FF" w14:textId="2AD0B06B"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（2）库存粮油情况发生变化的，粮油仓储单位未在5个工作日内更新库存粮油货位卡和有关</w:t>
            </w:r>
            <w:r w:rsidR="00755886">
              <w:rPr>
                <w:rFonts w:ascii="仿宋_GB2312" w:eastAsia="仿宋_GB2312" w:hAnsi="仿宋_GB2312" w:cs="仿宋_GB2312" w:hint="eastAsia"/>
                <w:sz w:val="24"/>
              </w:rPr>
              <w:t>账目</w:t>
            </w:r>
            <w:r>
              <w:rPr>
                <w:rFonts w:ascii="仿宋_GB2312" w:eastAsia="仿宋_GB2312" w:hAnsi="仿宋_GB2312" w:cs="仿宋_GB2312" w:hint="eastAsia"/>
                <w:sz w:val="24"/>
              </w:rPr>
              <w:t>，确保账</w:t>
            </w:r>
            <w:proofErr w:type="gramStart"/>
            <w:r>
              <w:rPr>
                <w:rFonts w:ascii="仿宋_GB2312" w:eastAsia="仿宋_GB2312" w:hAnsi="仿宋_GB2312" w:cs="仿宋_GB2312" w:hint="eastAsia"/>
                <w:sz w:val="24"/>
              </w:rPr>
              <w:t>账</w:t>
            </w:r>
            <w:proofErr w:type="gramEnd"/>
            <w:r>
              <w:rPr>
                <w:rFonts w:ascii="仿宋_GB2312" w:eastAsia="仿宋_GB2312" w:hAnsi="仿宋_GB2312" w:cs="仿宋_GB2312" w:hint="eastAsia"/>
                <w:sz w:val="24"/>
              </w:rPr>
              <w:t>相符、账实相符的；</w:t>
            </w:r>
          </w:p>
          <w:p w14:paraId="6705E4EB" w14:textId="77777777" w:rsidR="00075BFC"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（3）主动整改或在行政机关责令改正的期限内改正；</w:t>
            </w:r>
          </w:p>
          <w:p w14:paraId="682BF3BE"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t>（4）危害后果轻微，未引发不良社会影响。</w:t>
            </w:r>
          </w:p>
        </w:tc>
        <w:tc>
          <w:tcPr>
            <w:tcW w:w="2106" w:type="dxa"/>
          </w:tcPr>
          <w:p w14:paraId="7932C132" w14:textId="77777777" w:rsidR="00075BFC" w:rsidRDefault="00000000">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对当事人的违法行为依法不予行政处罚的，行政机</w:t>
            </w:r>
            <w:r>
              <w:rPr>
                <w:rFonts w:ascii="仿宋_GB2312" w:eastAsia="仿宋_GB2312" w:hAnsi="仿宋_GB2312" w:cs="仿宋_GB2312" w:hint="eastAsia"/>
                <w:sz w:val="24"/>
              </w:rPr>
              <w:lastRenderedPageBreak/>
              <w:t>关应当对当事人进行教育、指导，责令当事人立即或限期改正违法行为，签订《承诺书》，并及时复查整改情况。</w:t>
            </w:r>
          </w:p>
        </w:tc>
        <w:tc>
          <w:tcPr>
            <w:tcW w:w="889" w:type="dxa"/>
            <w:vAlign w:val="center"/>
          </w:tcPr>
          <w:p w14:paraId="2B2AA110"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市级、</w:t>
            </w:r>
          </w:p>
          <w:p w14:paraId="1D71AD12" w14:textId="77777777" w:rsidR="00075BFC"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区级</w:t>
            </w:r>
          </w:p>
        </w:tc>
      </w:tr>
    </w:tbl>
    <w:p w14:paraId="56CBEDBC" w14:textId="77777777" w:rsidR="00075BFC" w:rsidRDefault="00000000">
      <w:pPr>
        <w:rPr>
          <w:rFonts w:ascii="仿宋_GB2312" w:eastAsia="仿宋_GB2312" w:hAnsi="仿宋_GB2312" w:cs="仿宋_GB2312" w:hint="eastAsia"/>
        </w:rPr>
      </w:pPr>
      <w:r>
        <w:rPr>
          <w:rFonts w:ascii="仿宋_GB2312" w:eastAsia="仿宋_GB2312" w:hAnsi="仿宋_GB2312" w:cs="仿宋_GB2312" w:hint="eastAsia"/>
        </w:rPr>
        <w:t>注：1.坚持教育与惩戒相结合，广泛运用说服教育，指导约谈等方式，教育、引导、督促当事人依法合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开展生产经营活动，自觉提升法律意识和主体责任意识。依法不予处罚的，应当责令当事人立即或限期改正违法行为，签订《承诺书》，当事人拒不改正或者改正后再犯的，结合违法的情节、危害程度，依</w:t>
      </w:r>
      <w:r>
        <w:rPr>
          <w:rFonts w:ascii="仿宋_GB2312" w:eastAsia="仿宋_GB2312" w:hAnsi="仿宋_GB2312" w:cs="仿宋_GB2312" w:hint="eastAsia"/>
        </w:rPr>
        <w:lastRenderedPageBreak/>
        <w:t>法处罚，努力做到宽严相济、法理相融，让执法既有力度又有温度。</w:t>
      </w:r>
    </w:p>
    <w:p w14:paraId="686C38AF" w14:textId="77777777" w:rsidR="00075BFC" w:rsidRDefault="00000000">
      <w:pPr>
        <w:rPr>
          <w:rFonts w:ascii="仿宋_GB2312" w:eastAsia="仿宋_GB2312" w:hAnsi="仿宋_GB2312" w:cs="仿宋_GB2312" w:hint="eastAsia"/>
        </w:rPr>
      </w:pPr>
      <w:r>
        <w:rPr>
          <w:rFonts w:ascii="仿宋_GB2312" w:eastAsia="仿宋_GB2312" w:hAnsi="仿宋_GB2312" w:cs="仿宋_GB2312" w:hint="eastAsia"/>
        </w:rPr>
        <w:t>2.按照行政执法全过程记录的要求，做好现场检查笔录，除当事人立即主动改正外、应当向当事</w:t>
      </w:r>
      <w:proofErr w:type="gramStart"/>
      <w:r>
        <w:rPr>
          <w:rFonts w:ascii="仿宋_GB2312" w:eastAsia="仿宋_GB2312" w:hAnsi="仿宋_GB2312" w:cs="仿宋_GB2312" w:hint="eastAsia"/>
        </w:rPr>
        <w:t>人制</w:t>
      </w:r>
      <w:proofErr w:type="gramEnd"/>
      <w:r>
        <w:rPr>
          <w:rFonts w:ascii="仿宋_GB2312" w:eastAsia="仿宋_GB2312" w:hAnsi="仿宋_GB2312" w:cs="仿宋_GB2312" w:hint="eastAsia"/>
        </w:rPr>
        <w:t>发限期责令改正通知书。符合适用条件不予行政处罚的、应当制发不予行政处罚决定书，按要求做好当事人改正情况及相关审批材料等案卷卷宗的整理归档工作，确保有据可查。</w:t>
      </w:r>
    </w:p>
    <w:p w14:paraId="1AC7874A" w14:textId="77777777" w:rsidR="00075BFC" w:rsidRDefault="00000000">
      <w:pPr>
        <w:rPr>
          <w:rFonts w:ascii="仿宋_GB2312" w:eastAsia="仿宋_GB2312" w:hAnsi="仿宋_GB2312" w:cs="仿宋_GB2312" w:hint="eastAsia"/>
        </w:rPr>
      </w:pPr>
      <w:r>
        <w:rPr>
          <w:rFonts w:ascii="仿宋_GB2312" w:eastAsia="仿宋_GB2312" w:hAnsi="仿宋_GB2312" w:cs="仿宋_GB2312" w:hint="eastAsia"/>
        </w:rPr>
        <w:t>3.本清单自印发之日起施行。施行前发生但尚未处罚的轻微违法和初次违法行为适用本清单。</w:t>
      </w:r>
    </w:p>
    <w:p w14:paraId="739DE311" w14:textId="77777777" w:rsidR="00075BFC" w:rsidRDefault="00075BFC">
      <w:pPr>
        <w:pStyle w:val="a0"/>
        <w:rPr>
          <w:rFonts w:ascii="仿宋_GB2312" w:eastAsia="仿宋_GB2312" w:hAnsi="仿宋_GB2312" w:cs="仿宋_GB2312" w:hint="eastAsia"/>
        </w:rPr>
        <w:sectPr w:rsidR="00075BFC">
          <w:footerReference w:type="default" r:id="rId8"/>
          <w:pgSz w:w="16838" w:h="11906" w:orient="landscape"/>
          <w:pgMar w:top="1689" w:right="1270" w:bottom="1689" w:left="1270" w:header="851" w:footer="992" w:gutter="0"/>
          <w:cols w:space="720"/>
          <w:docGrid w:type="lines" w:linePitch="312"/>
        </w:sectPr>
      </w:pPr>
    </w:p>
    <w:p w14:paraId="0B1D046E" w14:textId="77777777" w:rsidR="00075BFC" w:rsidRDefault="00075BFC">
      <w:pPr>
        <w:pStyle w:val="a6"/>
        <w:spacing w:line="590" w:lineRule="exact"/>
        <w:rPr>
          <w:rFonts w:ascii="Times New Roman" w:eastAsia="方正黑体_GBK" w:hAnsi="Times New Roman"/>
          <w:sz w:val="32"/>
          <w:szCs w:val="32"/>
        </w:rPr>
      </w:pPr>
    </w:p>
    <w:p w14:paraId="733FB02C" w14:textId="77777777" w:rsidR="00075BFC" w:rsidRDefault="00000000">
      <w:pPr>
        <w:spacing w:line="700" w:lineRule="exact"/>
        <w:jc w:val="center"/>
        <w:rPr>
          <w:rFonts w:eastAsia="方正小标宋_GBK"/>
          <w:bCs/>
          <w:color w:val="000000"/>
          <w:sz w:val="44"/>
          <w:szCs w:val="44"/>
        </w:rPr>
      </w:pPr>
      <w:r>
        <w:rPr>
          <w:rFonts w:eastAsia="方正小标宋_GBK"/>
          <w:bCs/>
          <w:color w:val="000000"/>
          <w:sz w:val="44"/>
          <w:szCs w:val="44"/>
        </w:rPr>
        <w:t>承</w:t>
      </w:r>
      <w:r>
        <w:rPr>
          <w:rFonts w:eastAsia="方正小标宋_GBK"/>
          <w:bCs/>
          <w:color w:val="000000"/>
          <w:sz w:val="44"/>
          <w:szCs w:val="44"/>
        </w:rPr>
        <w:t xml:space="preserve"> </w:t>
      </w:r>
      <w:r>
        <w:rPr>
          <w:rFonts w:eastAsia="方正小标宋_GBK"/>
          <w:bCs/>
          <w:color w:val="000000"/>
          <w:sz w:val="44"/>
          <w:szCs w:val="44"/>
        </w:rPr>
        <w:t>诺</w:t>
      </w:r>
      <w:r>
        <w:rPr>
          <w:rFonts w:eastAsia="方正小标宋_GBK" w:hint="eastAsia"/>
          <w:bCs/>
          <w:color w:val="000000"/>
          <w:sz w:val="44"/>
          <w:szCs w:val="44"/>
        </w:rPr>
        <w:t xml:space="preserve"> </w:t>
      </w:r>
      <w:r>
        <w:rPr>
          <w:rFonts w:eastAsia="方正小标宋_GBK"/>
          <w:bCs/>
          <w:color w:val="000000"/>
          <w:sz w:val="44"/>
          <w:szCs w:val="44"/>
        </w:rPr>
        <w:t>书</w:t>
      </w:r>
      <w:r>
        <w:rPr>
          <w:rFonts w:eastAsia="方正小标宋_GBK"/>
          <w:bCs/>
          <w:color w:val="000000"/>
          <w:sz w:val="44"/>
          <w:szCs w:val="44"/>
        </w:rPr>
        <w:t xml:space="preserve"> </w:t>
      </w:r>
      <w:r>
        <w:rPr>
          <w:rFonts w:eastAsia="方正小标宋_GBK" w:hint="eastAsia"/>
          <w:bCs/>
          <w:color w:val="000000"/>
          <w:sz w:val="44"/>
          <w:szCs w:val="44"/>
        </w:rPr>
        <w:t>（参考样式）</w:t>
      </w:r>
    </w:p>
    <w:p w14:paraId="6D567B5F" w14:textId="77777777" w:rsidR="00075BFC" w:rsidRDefault="00075BFC">
      <w:pPr>
        <w:spacing w:line="300" w:lineRule="exact"/>
        <w:jc w:val="center"/>
        <w:rPr>
          <w:rFonts w:eastAsia="方正小标宋_GBK"/>
          <w:bCs/>
          <w:color w:val="000000"/>
          <w:sz w:val="44"/>
          <w:szCs w:val="44"/>
        </w:rPr>
      </w:pPr>
    </w:p>
    <w:p w14:paraId="29C7E13A" w14:textId="77777777" w:rsidR="00075BFC" w:rsidRDefault="00000000">
      <w:pPr>
        <w:jc w:val="center"/>
        <w:rPr>
          <w:rFonts w:eastAsia="方正仿宋_GBK"/>
          <w:color w:val="000000"/>
          <w:sz w:val="32"/>
          <w:szCs w:val="32"/>
        </w:rPr>
      </w:pPr>
      <w:r>
        <w:rPr>
          <w:rFonts w:eastAsia="方正小标宋简体"/>
          <w:color w:val="000000"/>
          <w:sz w:val="28"/>
          <w:szCs w:val="28"/>
        </w:rPr>
        <w:t xml:space="preserve">                                       </w:t>
      </w:r>
      <w:r>
        <w:rPr>
          <w:rFonts w:eastAsia="方正仿宋_GBK"/>
          <w:sz w:val="32"/>
          <w:szCs w:val="32"/>
        </w:rPr>
        <w:t>编号：</w:t>
      </w:r>
    </w:p>
    <w:p w14:paraId="74182F54" w14:textId="77777777" w:rsidR="00075BFC" w:rsidRDefault="00000000">
      <w:pPr>
        <w:spacing w:line="590" w:lineRule="exact"/>
        <w:rPr>
          <w:rFonts w:eastAsia="方正仿宋_GBK"/>
          <w:sz w:val="32"/>
          <w:szCs w:val="32"/>
        </w:rPr>
      </w:pPr>
      <w:r>
        <w:rPr>
          <w:rFonts w:eastAsia="方正仿宋_GBK"/>
          <w:sz w:val="32"/>
          <w:szCs w:val="32"/>
          <w:u w:val="single"/>
        </w:rPr>
        <w:t xml:space="preserve">                </w:t>
      </w:r>
      <w:r>
        <w:rPr>
          <w:rFonts w:eastAsia="方正仿宋_GBK"/>
          <w:sz w:val="32"/>
          <w:szCs w:val="32"/>
        </w:rPr>
        <w:t>：</w:t>
      </w:r>
    </w:p>
    <w:p w14:paraId="5EDCB1BC" w14:textId="77777777" w:rsidR="00075BFC" w:rsidRDefault="00000000">
      <w:pPr>
        <w:spacing w:line="590" w:lineRule="exact"/>
        <w:ind w:firstLine="640"/>
        <w:rPr>
          <w:rFonts w:eastAsia="方正仿宋_GBK"/>
          <w:sz w:val="32"/>
          <w:szCs w:val="32"/>
        </w:rPr>
      </w:pPr>
      <w:r>
        <w:rPr>
          <w:rFonts w:eastAsia="方正仿宋_GBK"/>
          <w:sz w:val="32"/>
          <w:szCs w:val="32"/>
        </w:rPr>
        <w:t>你</w:t>
      </w:r>
      <w:r>
        <w:rPr>
          <w:rFonts w:eastAsia="方正仿宋_GBK" w:hint="eastAsia"/>
          <w:sz w:val="32"/>
          <w:szCs w:val="32"/>
        </w:rPr>
        <w:t>单位</w:t>
      </w:r>
      <w:r>
        <w:rPr>
          <w:rFonts w:eastAsia="方正仿宋_GBK"/>
          <w:sz w:val="32"/>
          <w:szCs w:val="32"/>
        </w:rPr>
        <w:t>执法人员</w:t>
      </w:r>
      <w:r>
        <w:rPr>
          <w:rFonts w:eastAsia="方正仿宋_GBK"/>
          <w:sz w:val="32"/>
          <w:szCs w:val="32"/>
          <w:u w:val="single"/>
        </w:rPr>
        <w:t xml:space="preserve">     </w:t>
      </w:r>
      <w:r>
        <w:rPr>
          <w:rFonts w:eastAsia="方正仿宋_GBK"/>
          <w:sz w:val="32"/>
          <w:szCs w:val="32"/>
        </w:rPr>
        <w:t>、</w:t>
      </w:r>
      <w:r>
        <w:rPr>
          <w:rFonts w:eastAsia="方正仿宋_GBK"/>
          <w:sz w:val="32"/>
          <w:szCs w:val="32"/>
          <w:u w:val="single"/>
        </w:rPr>
        <w:t xml:space="preserve">     </w:t>
      </w:r>
      <w:r>
        <w:rPr>
          <w:rFonts w:eastAsia="方正仿宋_GBK"/>
          <w:sz w:val="32"/>
          <w:szCs w:val="32"/>
        </w:rPr>
        <w:t>在</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日的监督检查中发现我（单位</w:t>
      </w:r>
      <w:r>
        <w:rPr>
          <w:rFonts w:eastAsia="方正仿宋_GBK" w:hint="eastAsia"/>
          <w:sz w:val="32"/>
          <w:szCs w:val="32"/>
        </w:rPr>
        <w:t>：</w:t>
      </w:r>
      <w:r>
        <w:rPr>
          <w:rFonts w:eastAsia="方正仿宋_GBK" w:hint="eastAsia"/>
          <w:sz w:val="32"/>
          <w:szCs w:val="32"/>
          <w:u w:val="single"/>
        </w:rPr>
        <w:t xml:space="preserve">         </w:t>
      </w:r>
      <w:r>
        <w:rPr>
          <w:rFonts w:eastAsia="方正仿宋_GBK"/>
          <w:sz w:val="32"/>
          <w:szCs w:val="32"/>
        </w:rPr>
        <w:t>）存在</w:t>
      </w:r>
      <w:r>
        <w:rPr>
          <w:rFonts w:eastAsia="方正仿宋_GBK"/>
          <w:sz w:val="32"/>
          <w:szCs w:val="32"/>
          <w:u w:val="single"/>
        </w:rPr>
        <w:t xml:space="preserve">                        </w:t>
      </w:r>
    </w:p>
    <w:p w14:paraId="539B5BD4" w14:textId="77777777" w:rsidR="00075BFC" w:rsidRDefault="00000000">
      <w:pPr>
        <w:spacing w:line="590" w:lineRule="exact"/>
        <w:rPr>
          <w:rFonts w:eastAsia="方正仿宋_GBK"/>
          <w:sz w:val="32"/>
          <w:szCs w:val="32"/>
        </w:rPr>
      </w:pPr>
      <w:r>
        <w:rPr>
          <w:rFonts w:eastAsia="方正仿宋_GBK"/>
          <w:sz w:val="32"/>
          <w:szCs w:val="32"/>
        </w:rPr>
        <w:t>违法行为，执法人员已向我（单位）进行了相关告知和批评教育，并要求我（单位）予以改正。</w:t>
      </w:r>
    </w:p>
    <w:p w14:paraId="0A1EA863" w14:textId="77777777" w:rsidR="00075BFC" w:rsidRDefault="00000000">
      <w:pPr>
        <w:spacing w:line="590" w:lineRule="exact"/>
        <w:ind w:firstLine="640"/>
        <w:rPr>
          <w:rFonts w:eastAsia="方正仿宋_GBK"/>
          <w:sz w:val="32"/>
          <w:szCs w:val="32"/>
        </w:rPr>
      </w:pPr>
      <w:r>
        <w:rPr>
          <w:rFonts w:eastAsia="方正仿宋_GBK"/>
          <w:sz w:val="32"/>
          <w:szCs w:val="32"/>
        </w:rPr>
        <w:t>我（单位）对以上情况确认无误，并自愿承诺：</w:t>
      </w:r>
    </w:p>
    <w:p w14:paraId="552EA5AC" w14:textId="77777777" w:rsidR="00075BFC" w:rsidRDefault="00000000">
      <w:pPr>
        <w:spacing w:line="590" w:lineRule="exact"/>
        <w:ind w:firstLine="640"/>
        <w:rPr>
          <w:rFonts w:eastAsia="方正仿宋_GBK"/>
          <w:sz w:val="32"/>
          <w:szCs w:val="32"/>
        </w:rPr>
      </w:pPr>
      <w:r>
        <w:rPr>
          <w:rFonts w:eastAsia="方正仿宋_GBK"/>
          <w:sz w:val="32"/>
          <w:szCs w:val="32"/>
        </w:rPr>
        <w:sym w:font="Wingdings" w:char="00A8"/>
      </w:r>
      <w:r>
        <w:rPr>
          <w:rFonts w:eastAsia="方正仿宋_GBK"/>
          <w:sz w:val="32"/>
          <w:szCs w:val="32"/>
        </w:rPr>
        <w:t xml:space="preserve">1. </w:t>
      </w:r>
      <w:r>
        <w:rPr>
          <w:rFonts w:eastAsia="方正仿宋_GBK"/>
          <w:sz w:val="32"/>
          <w:szCs w:val="32"/>
        </w:rPr>
        <w:t>立即予以改正；</w:t>
      </w:r>
    </w:p>
    <w:p w14:paraId="79968ACD" w14:textId="77777777" w:rsidR="00075BFC" w:rsidRDefault="00000000">
      <w:pPr>
        <w:spacing w:line="590" w:lineRule="exact"/>
        <w:ind w:firstLine="640"/>
        <w:rPr>
          <w:rFonts w:eastAsia="方正仿宋_GBK"/>
          <w:sz w:val="32"/>
          <w:szCs w:val="32"/>
        </w:rPr>
      </w:pPr>
      <w:r>
        <w:rPr>
          <w:rFonts w:eastAsia="方正仿宋_GBK"/>
          <w:sz w:val="32"/>
          <w:szCs w:val="32"/>
        </w:rPr>
        <w:sym w:font="Wingdings" w:char="00A8"/>
      </w:r>
      <w:r>
        <w:rPr>
          <w:rFonts w:eastAsia="方正仿宋_GBK"/>
          <w:sz w:val="32"/>
          <w:szCs w:val="32"/>
        </w:rPr>
        <w:t xml:space="preserve">2. </w:t>
      </w:r>
      <w:r>
        <w:rPr>
          <w:rFonts w:eastAsia="方正仿宋_GBK"/>
          <w:sz w:val="32"/>
          <w:szCs w:val="32"/>
        </w:rPr>
        <w:t>在</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日前改正，并将整改情况说明及相关证明材料送达你</w:t>
      </w:r>
      <w:r>
        <w:rPr>
          <w:rFonts w:eastAsia="方正仿宋_GBK" w:hint="eastAsia"/>
          <w:sz w:val="32"/>
          <w:szCs w:val="32"/>
        </w:rPr>
        <w:t>单位</w:t>
      </w:r>
      <w:r>
        <w:rPr>
          <w:rFonts w:eastAsia="方正仿宋_GBK"/>
          <w:sz w:val="32"/>
          <w:szCs w:val="32"/>
        </w:rPr>
        <w:t>。</w:t>
      </w:r>
    </w:p>
    <w:p w14:paraId="1F57DA14" w14:textId="77777777" w:rsidR="00075BFC" w:rsidRDefault="00000000">
      <w:pPr>
        <w:spacing w:line="590" w:lineRule="exact"/>
        <w:ind w:firstLine="600"/>
        <w:rPr>
          <w:rFonts w:eastAsia="方正仿宋_GBK"/>
          <w:sz w:val="32"/>
          <w:szCs w:val="32"/>
        </w:rPr>
      </w:pPr>
      <w:r>
        <w:rPr>
          <w:rFonts w:eastAsia="方正仿宋_GBK"/>
          <w:sz w:val="32"/>
          <w:szCs w:val="32"/>
        </w:rPr>
        <w:t>若我（单位）未履行上述承诺，愿依法承担相应的法律责任。</w:t>
      </w:r>
    </w:p>
    <w:p w14:paraId="0855F1A2" w14:textId="77777777" w:rsidR="00075BFC" w:rsidRDefault="00075BFC">
      <w:pPr>
        <w:spacing w:line="590" w:lineRule="exact"/>
        <w:rPr>
          <w:rFonts w:eastAsia="方正仿宋_GBK"/>
          <w:sz w:val="32"/>
          <w:szCs w:val="32"/>
        </w:rPr>
      </w:pPr>
    </w:p>
    <w:p w14:paraId="64238873" w14:textId="77777777" w:rsidR="00075BFC" w:rsidRDefault="00075BFC">
      <w:pPr>
        <w:spacing w:line="590" w:lineRule="exact"/>
        <w:rPr>
          <w:rFonts w:eastAsia="方正仿宋_GBK"/>
          <w:sz w:val="32"/>
          <w:szCs w:val="32"/>
        </w:rPr>
      </w:pPr>
    </w:p>
    <w:p w14:paraId="4236913F" w14:textId="77777777" w:rsidR="00075BFC" w:rsidRDefault="00000000">
      <w:pPr>
        <w:spacing w:line="590" w:lineRule="exact"/>
        <w:ind w:rightChars="400" w:right="840"/>
        <w:jc w:val="center"/>
        <w:rPr>
          <w:rFonts w:eastAsia="方正仿宋_GBK"/>
          <w:sz w:val="32"/>
          <w:szCs w:val="32"/>
        </w:rPr>
      </w:pPr>
      <w:r>
        <w:rPr>
          <w:rFonts w:eastAsia="方正仿宋_GBK"/>
          <w:sz w:val="32"/>
          <w:szCs w:val="32"/>
        </w:rPr>
        <w:t xml:space="preserve">                           </w:t>
      </w:r>
      <w:r>
        <w:rPr>
          <w:rFonts w:eastAsia="方正仿宋_GBK"/>
          <w:sz w:val="32"/>
          <w:szCs w:val="32"/>
        </w:rPr>
        <w:t>承诺人签名或盖章：</w:t>
      </w:r>
      <w:r>
        <w:rPr>
          <w:rFonts w:eastAsia="方正仿宋_GBK"/>
          <w:sz w:val="32"/>
          <w:szCs w:val="32"/>
        </w:rPr>
        <w:t xml:space="preserve">    </w:t>
      </w:r>
    </w:p>
    <w:p w14:paraId="426F0630" w14:textId="77777777" w:rsidR="00075BFC" w:rsidRDefault="00000000">
      <w:pPr>
        <w:spacing w:line="590" w:lineRule="exact"/>
        <w:ind w:rightChars="400" w:right="840"/>
        <w:jc w:val="center"/>
        <w:rPr>
          <w:rFonts w:eastAsia="方正仿宋_GBK"/>
          <w:sz w:val="32"/>
          <w:szCs w:val="32"/>
        </w:rPr>
      </w:pPr>
      <w:r>
        <w:rPr>
          <w:rFonts w:eastAsia="方正仿宋_GBK"/>
          <w:sz w:val="32"/>
          <w:szCs w:val="32"/>
        </w:rPr>
        <w:t xml:space="preserve">                         </w:t>
      </w: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p w14:paraId="384D3348" w14:textId="77777777" w:rsidR="00075BFC" w:rsidRDefault="00075BFC">
      <w:pPr>
        <w:tabs>
          <w:tab w:val="left" w:pos="567"/>
        </w:tabs>
        <w:spacing w:line="590" w:lineRule="exact"/>
        <w:rPr>
          <w:rFonts w:eastAsia="方正仿宋_GBK"/>
          <w:sz w:val="32"/>
          <w:szCs w:val="32"/>
        </w:rPr>
      </w:pPr>
    </w:p>
    <w:p w14:paraId="04B534D1" w14:textId="77777777" w:rsidR="00075BFC" w:rsidRDefault="00000000">
      <w:pPr>
        <w:spacing w:line="590" w:lineRule="exact"/>
        <w:rPr>
          <w:rFonts w:eastAsia="方正仿宋_GBK"/>
          <w:sz w:val="32"/>
          <w:szCs w:val="32"/>
        </w:rPr>
      </w:pPr>
      <w:r>
        <w:rPr>
          <w:rFonts w:eastAsia="方正仿宋_GBK"/>
          <w:sz w:val="32"/>
          <w:szCs w:val="32"/>
        </w:rPr>
        <w:t>附：当事人身份证（营业执照）复印件。</w:t>
      </w:r>
    </w:p>
    <w:p w14:paraId="36B7D95E" w14:textId="77777777" w:rsidR="00075BFC" w:rsidRDefault="00000000">
      <w:r>
        <w:rPr>
          <w:rFonts w:eastAsia="方正仿宋_GBK"/>
          <w:sz w:val="32"/>
          <w:szCs w:val="32"/>
        </w:rPr>
        <w:t>注：</w:t>
      </w:r>
      <w:proofErr w:type="gramStart"/>
      <w:r>
        <w:rPr>
          <w:rFonts w:eastAsia="方正仿宋_GBK"/>
          <w:sz w:val="32"/>
          <w:szCs w:val="32"/>
        </w:rPr>
        <w:t>本承诺</w:t>
      </w:r>
      <w:proofErr w:type="gramEnd"/>
      <w:r>
        <w:rPr>
          <w:rFonts w:eastAsia="方正仿宋_GBK"/>
          <w:sz w:val="32"/>
          <w:szCs w:val="32"/>
        </w:rPr>
        <w:t>书一式两份，执法部门和当事人各一份。</w:t>
      </w:r>
    </w:p>
    <w:p w14:paraId="461AC1C4" w14:textId="77777777" w:rsidR="00075BFC" w:rsidRDefault="00075BFC">
      <w:pPr>
        <w:pStyle w:val="toc11"/>
      </w:pPr>
    </w:p>
    <w:sectPr w:rsidR="00075B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4C48" w14:textId="77777777" w:rsidR="003411E6" w:rsidRDefault="003411E6">
      <w:pPr>
        <w:spacing w:after="0" w:line="240" w:lineRule="auto"/>
      </w:pPr>
      <w:r>
        <w:separator/>
      </w:r>
    </w:p>
  </w:endnote>
  <w:endnote w:type="continuationSeparator" w:id="0">
    <w:p w14:paraId="43C9D8E4" w14:textId="77777777" w:rsidR="003411E6" w:rsidRDefault="0034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altName w:val="微软雅黑"/>
    <w:charset w:val="86"/>
    <w:family w:val="script"/>
    <w:pitch w:val="default"/>
    <w:sig w:usb0="00000001" w:usb1="0800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方正黑体_GBK">
    <w:altName w:val="微软雅黑"/>
    <w:charset w:val="86"/>
    <w:family w:val="auto"/>
    <w:pitch w:val="default"/>
    <w:sig w:usb0="00000001" w:usb1="08000000" w:usb2="00000000" w:usb3="00000000" w:csb0="00040000" w:csb1="00000000"/>
  </w:font>
  <w:font w:name="仿宋_GB2312">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4A58" w14:textId="77777777" w:rsidR="00075BFC" w:rsidRDefault="00000000">
    <w:pPr>
      <w:pStyle w:val="a4"/>
    </w:pPr>
    <w:r>
      <w:rPr>
        <w:noProof/>
      </w:rPr>
      <mc:AlternateContent>
        <mc:Choice Requires="wps">
          <w:drawing>
            <wp:anchor distT="0" distB="0" distL="114300" distR="114300" simplePos="0" relativeHeight="251658240" behindDoc="0" locked="0" layoutInCell="1" allowOverlap="1" wp14:anchorId="7963BAFC" wp14:editId="02093F3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CA3F80" w14:textId="77777777" w:rsidR="00075BFC"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7</w:t>
                            </w:r>
                          </w:fldSimple>
                          <w:r>
                            <w:t xml:space="preserve"> </w:t>
                          </w:r>
                          <w:r>
                            <w:t>页</w:t>
                          </w:r>
                        </w:p>
                      </w:txbxContent>
                    </wps:txbx>
                    <wps:bodyPr vert="horz" wrap="none" lIns="0" tIns="0" rIns="0" bIns="0" anchor="t" anchorCtr="0">
                      <a:spAutoFit/>
                    </wps:bodyPr>
                  </wps:wsp>
                </a:graphicData>
              </a:graphic>
            </wp:anchor>
          </w:drawing>
        </mc:Choice>
        <mc:Fallback>
          <w:pict>
            <v:shapetype w14:anchorId="7963BAFC"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37CA3F80" w14:textId="77777777" w:rsidR="00075BFC"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748F9" w14:textId="77777777" w:rsidR="003411E6" w:rsidRDefault="003411E6">
      <w:pPr>
        <w:spacing w:after="0" w:line="240" w:lineRule="auto"/>
      </w:pPr>
      <w:r>
        <w:separator/>
      </w:r>
    </w:p>
  </w:footnote>
  <w:footnote w:type="continuationSeparator" w:id="0">
    <w:p w14:paraId="717E1D65" w14:textId="77777777" w:rsidR="003411E6" w:rsidRDefault="00341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2A1F"/>
    <w:multiLevelType w:val="singleLevel"/>
    <w:tmpl w:val="29D42A1F"/>
    <w:lvl w:ilvl="0">
      <w:start w:val="5"/>
      <w:numFmt w:val="chineseCounting"/>
      <w:suff w:val="nothing"/>
      <w:lvlText w:val="（%1）"/>
      <w:lvlJc w:val="left"/>
      <w:rPr>
        <w:rFonts w:hint="eastAsia"/>
      </w:rPr>
    </w:lvl>
  </w:abstractNum>
  <w:num w:numId="1" w16cid:durableId="211979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9F6F19"/>
    <w:rsid w:val="FF9F6F19"/>
    <w:rsid w:val="003901A8"/>
    <w:rsid w:val="1AFE4FD4"/>
    <w:rsid w:val="1FEF9F86"/>
    <w:rsid w:val="274FF9D0"/>
    <w:rsid w:val="2BFFDB5D"/>
    <w:rsid w:val="2F3B37DC"/>
    <w:rsid w:val="2FF4D11A"/>
    <w:rsid w:val="36C7BF1F"/>
    <w:rsid w:val="3B7F705D"/>
    <w:rsid w:val="3BF75FF5"/>
    <w:rsid w:val="3C9EA449"/>
    <w:rsid w:val="3EFB41F2"/>
    <w:rsid w:val="3EFB8309"/>
    <w:rsid w:val="3EFF05CE"/>
    <w:rsid w:val="3F7F3C01"/>
    <w:rsid w:val="3FEFC2C8"/>
    <w:rsid w:val="417F5D5D"/>
    <w:rsid w:val="46FBEB56"/>
    <w:rsid w:val="47F38DDD"/>
    <w:rsid w:val="47FEE54A"/>
    <w:rsid w:val="4BDF94AF"/>
    <w:rsid w:val="4BDFF07F"/>
    <w:rsid w:val="4F94CEF9"/>
    <w:rsid w:val="56DCF3D5"/>
    <w:rsid w:val="56FF8A70"/>
    <w:rsid w:val="57AE69CA"/>
    <w:rsid w:val="57FF10EA"/>
    <w:rsid w:val="57FF2410"/>
    <w:rsid w:val="57FF630F"/>
    <w:rsid w:val="5B662FC2"/>
    <w:rsid w:val="5B73BCA8"/>
    <w:rsid w:val="5F73A120"/>
    <w:rsid w:val="5FF789CB"/>
    <w:rsid w:val="667D7E4A"/>
    <w:rsid w:val="66F7EF40"/>
    <w:rsid w:val="6ACF507A"/>
    <w:rsid w:val="6BFF7B9C"/>
    <w:rsid w:val="6DBD634F"/>
    <w:rsid w:val="6DDFC0E9"/>
    <w:rsid w:val="6FF3B1D6"/>
    <w:rsid w:val="6FFD9450"/>
    <w:rsid w:val="70A6EBCA"/>
    <w:rsid w:val="73BF53D8"/>
    <w:rsid w:val="75FF8AE0"/>
    <w:rsid w:val="77BDDF39"/>
    <w:rsid w:val="77F512F9"/>
    <w:rsid w:val="79DFCA52"/>
    <w:rsid w:val="79EEAB03"/>
    <w:rsid w:val="7B8D2AA9"/>
    <w:rsid w:val="7BDD6307"/>
    <w:rsid w:val="7D3388F6"/>
    <w:rsid w:val="7DAE37A4"/>
    <w:rsid w:val="7DBF399A"/>
    <w:rsid w:val="7DBF469D"/>
    <w:rsid w:val="7DDBE874"/>
    <w:rsid w:val="7EDE6C94"/>
    <w:rsid w:val="7EFF2704"/>
    <w:rsid w:val="7F3F547D"/>
    <w:rsid w:val="7F7BB6D1"/>
    <w:rsid w:val="7F7CF81B"/>
    <w:rsid w:val="7FB70657"/>
    <w:rsid w:val="7FB79688"/>
    <w:rsid w:val="7FCF1F29"/>
    <w:rsid w:val="7FD73173"/>
    <w:rsid w:val="7FEE6271"/>
    <w:rsid w:val="7FF38124"/>
    <w:rsid w:val="7FFA46BD"/>
    <w:rsid w:val="8BBB3F24"/>
    <w:rsid w:val="8BFF0110"/>
    <w:rsid w:val="8FBD5977"/>
    <w:rsid w:val="9D4B5CFF"/>
    <w:rsid w:val="9D6F6CFC"/>
    <w:rsid w:val="9FDE39B6"/>
    <w:rsid w:val="9FFC5B68"/>
    <w:rsid w:val="ABFFA49A"/>
    <w:rsid w:val="AFBEF708"/>
    <w:rsid w:val="AFFD7B09"/>
    <w:rsid w:val="B3BAC699"/>
    <w:rsid w:val="B4BF90C7"/>
    <w:rsid w:val="B7355767"/>
    <w:rsid w:val="B7BD0D4D"/>
    <w:rsid w:val="BBF6E400"/>
    <w:rsid w:val="BBFB871D"/>
    <w:rsid w:val="CAFF3F91"/>
    <w:rsid w:val="CDD5C507"/>
    <w:rsid w:val="CEBB8913"/>
    <w:rsid w:val="D3FFBB0D"/>
    <w:rsid w:val="D518AEB3"/>
    <w:rsid w:val="D7FDAA0C"/>
    <w:rsid w:val="D8EF218E"/>
    <w:rsid w:val="D9F48C4B"/>
    <w:rsid w:val="DC7FC554"/>
    <w:rsid w:val="DC9CB7C9"/>
    <w:rsid w:val="DDFED299"/>
    <w:rsid w:val="DE2DC0CE"/>
    <w:rsid w:val="DE7F4FA1"/>
    <w:rsid w:val="DF77A476"/>
    <w:rsid w:val="DFAF6DC6"/>
    <w:rsid w:val="DFBFBFD2"/>
    <w:rsid w:val="DFFF4897"/>
    <w:rsid w:val="E77BA94D"/>
    <w:rsid w:val="E931A028"/>
    <w:rsid w:val="E99F403D"/>
    <w:rsid w:val="EB15095D"/>
    <w:rsid w:val="EBFDE1D9"/>
    <w:rsid w:val="EDDABAF0"/>
    <w:rsid w:val="EDDE1CA2"/>
    <w:rsid w:val="EF2D55D2"/>
    <w:rsid w:val="EF7FFF1E"/>
    <w:rsid w:val="EFBD1ECA"/>
    <w:rsid w:val="EFC20068"/>
    <w:rsid w:val="EFFBC7A5"/>
    <w:rsid w:val="EFFF7669"/>
    <w:rsid w:val="F1DE2B4E"/>
    <w:rsid w:val="F35CCF14"/>
    <w:rsid w:val="F37FAE1D"/>
    <w:rsid w:val="F5AE51F3"/>
    <w:rsid w:val="F5FF2A96"/>
    <w:rsid w:val="F67F1641"/>
    <w:rsid w:val="F67F5163"/>
    <w:rsid w:val="F6EF2191"/>
    <w:rsid w:val="F72E5B90"/>
    <w:rsid w:val="F77D928B"/>
    <w:rsid w:val="F7A55926"/>
    <w:rsid w:val="F7BFA7D8"/>
    <w:rsid w:val="F7F5C01F"/>
    <w:rsid w:val="F7FFAA7B"/>
    <w:rsid w:val="FBDD614E"/>
    <w:rsid w:val="FBFB2CF7"/>
    <w:rsid w:val="FBFFCFF8"/>
    <w:rsid w:val="FBFFF673"/>
    <w:rsid w:val="FC7FFCAD"/>
    <w:rsid w:val="FD8FB4D9"/>
    <w:rsid w:val="FD9F7729"/>
    <w:rsid w:val="FDBF14FE"/>
    <w:rsid w:val="FDFF85B3"/>
    <w:rsid w:val="FEDBD38C"/>
    <w:rsid w:val="FEEE6F96"/>
    <w:rsid w:val="FEFFF499"/>
    <w:rsid w:val="FF6F1B3E"/>
    <w:rsid w:val="FF7A3723"/>
    <w:rsid w:val="FF9F6F19"/>
    <w:rsid w:val="FFAFA9F0"/>
    <w:rsid w:val="FFBB58BA"/>
    <w:rsid w:val="FFCE1E56"/>
    <w:rsid w:val="FFDB147B"/>
    <w:rsid w:val="FFFBD088"/>
    <w:rsid w:val="FFFDCBEC"/>
    <w:rsid w:val="FFFFFCEB"/>
    <w:rsid w:val="00075BFC"/>
    <w:rsid w:val="003411E6"/>
    <w:rsid w:val="0075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F5816"/>
  <w15:docId w15:val="{9B5C4545-921F-487D-ABCF-CA8A66B4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11"/>
    <w:qFormat/>
    <w:pPr>
      <w:spacing w:after="0"/>
      <w:jc w:val="center"/>
    </w:pPr>
    <w:rPr>
      <w:rFonts w:ascii="方正小标宋_GBK" w:eastAsia="方正小标宋_GBK" w:hAnsi="Times New Roman" w:cs="方正小标宋_GBK"/>
      <w:b/>
      <w:bCs/>
      <w:sz w:val="36"/>
    </w:rPr>
  </w:style>
  <w:style w:type="paragraph" w:customStyle="1" w:styleId="toc11">
    <w:name w:val="toc 11"/>
    <w:next w:val="a"/>
    <w:qFormat/>
    <w:pPr>
      <w:wordWrap w:val="0"/>
      <w:jc w:val="both"/>
    </w:pPr>
    <w:rPr>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footnote text"/>
    <w:basedOn w:val="a"/>
    <w:uiPriority w:val="99"/>
    <w:unhideWhenUsed/>
    <w:qFormat/>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sonic fox</cp:lastModifiedBy>
  <cp:revision>3</cp:revision>
  <cp:lastPrinted>2022-11-02T09:04:00Z</cp:lastPrinted>
  <dcterms:created xsi:type="dcterms:W3CDTF">2022-08-26T18:18:00Z</dcterms:created>
  <dcterms:modified xsi:type="dcterms:W3CDTF">2025-05-18T21:37:00Z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